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5AE2B" w14:textId="6A181A68" w:rsidR="00C2028F" w:rsidRPr="00DA4FF7" w:rsidRDefault="00C2028F" w:rsidP="00CE1679">
      <w:pPr>
        <w:tabs>
          <w:tab w:val="right" w:pos="9639"/>
        </w:tabs>
        <w:snapToGrid w:val="0"/>
        <w:jc w:val="left"/>
        <w:rPr>
          <w:rFonts w:ascii="Arial" w:eastAsia="ＭＳ 明朝" w:hAnsi="Arial" w:cs="Arial"/>
          <w:b/>
          <w:kern w:val="0"/>
          <w:sz w:val="28"/>
          <w:szCs w:val="21"/>
          <w:lang w:val="de-DE"/>
        </w:rPr>
      </w:pPr>
      <w:r>
        <w:rPr>
          <w:rFonts w:ascii="Arial" w:eastAsia="ＭＳ 明朝" w:hAnsi="Arial" w:cs="Arial"/>
          <w:b/>
          <w:kern w:val="0"/>
          <w:sz w:val="28"/>
          <w:szCs w:val="21"/>
          <w:lang w:val="de-DE" w:eastAsia="zh-CN"/>
        </w:rPr>
        <w:t>3GPP TSG RAN WG1 #11</w:t>
      </w:r>
      <w:r w:rsidR="004C1572">
        <w:rPr>
          <w:rFonts w:ascii="Arial" w:eastAsiaTheme="minorEastAsia" w:hAnsi="Arial" w:cs="Arial"/>
          <w:b/>
          <w:kern w:val="0"/>
          <w:sz w:val="28"/>
          <w:szCs w:val="21"/>
          <w:lang w:val="de-DE"/>
        </w:rPr>
        <w:t>5</w:t>
      </w:r>
      <w:r>
        <w:rPr>
          <w:rFonts w:ascii="Arial" w:eastAsia="ＭＳ 明朝" w:hAnsi="Arial" w:cs="Arial"/>
          <w:b/>
          <w:kern w:val="0"/>
          <w:sz w:val="28"/>
          <w:szCs w:val="21"/>
          <w:lang w:val="de-DE" w:eastAsia="zh-CN"/>
        </w:rPr>
        <w:tab/>
      </w:r>
      <w:r w:rsidRPr="00DA4FF7">
        <w:rPr>
          <w:rFonts w:ascii="Arial" w:eastAsia="ＭＳ 明朝" w:hAnsi="Arial" w:cs="Arial"/>
          <w:b/>
          <w:kern w:val="0"/>
          <w:sz w:val="28"/>
          <w:szCs w:val="21"/>
          <w:lang w:val="de-DE" w:eastAsia="zh-CN"/>
        </w:rPr>
        <w:t>R</w:t>
      </w:r>
      <w:r w:rsidRPr="004B50DE">
        <w:rPr>
          <w:rFonts w:ascii="Arial" w:eastAsia="ＭＳ 明朝" w:hAnsi="Arial" w:cs="Arial"/>
          <w:b/>
          <w:kern w:val="0"/>
          <w:sz w:val="28"/>
          <w:szCs w:val="21"/>
          <w:lang w:val="de-DE" w:eastAsia="zh-CN"/>
        </w:rPr>
        <w:t>1-</w:t>
      </w:r>
      <w:r w:rsidRPr="009B4C2B">
        <w:rPr>
          <w:rFonts w:ascii="Arial" w:eastAsia="Malgun Gothic" w:hAnsi="Arial" w:cs="Arial"/>
          <w:b/>
          <w:kern w:val="0"/>
          <w:sz w:val="28"/>
          <w:szCs w:val="21"/>
          <w:lang w:val="de-DE" w:eastAsia="ko-KR"/>
        </w:rPr>
        <w:t>2</w:t>
      </w:r>
      <w:r w:rsidR="008F7AA9" w:rsidRPr="004B50DE">
        <w:rPr>
          <w:rFonts w:ascii="Arial" w:eastAsia="Malgun Gothic" w:hAnsi="Arial" w:cs="Arial" w:hint="eastAsia"/>
          <w:b/>
          <w:kern w:val="0"/>
          <w:sz w:val="28"/>
          <w:szCs w:val="21"/>
          <w:lang w:val="de-DE" w:eastAsia="ko-KR"/>
        </w:rPr>
        <w:t>3</w:t>
      </w:r>
      <w:r w:rsidR="00B56B9E" w:rsidRPr="00B56B9E">
        <w:rPr>
          <w:rFonts w:ascii="Arial" w:eastAsia="Malgun Gothic" w:hAnsi="Arial" w:cs="Arial"/>
          <w:b/>
          <w:kern w:val="0"/>
          <w:sz w:val="28"/>
          <w:szCs w:val="21"/>
          <w:lang w:val="de-DE" w:eastAsia="ko-KR"/>
        </w:rPr>
        <w:t>11514</w:t>
      </w:r>
    </w:p>
    <w:p w14:paraId="4827B175" w14:textId="77777777" w:rsidR="00516B63" w:rsidRDefault="00516B63" w:rsidP="00CE1679">
      <w:pPr>
        <w:tabs>
          <w:tab w:val="center" w:pos="4536"/>
          <w:tab w:val="right" w:pos="9072"/>
        </w:tabs>
        <w:snapToGrid w:val="0"/>
        <w:rPr>
          <w:rFonts w:ascii="Arial" w:eastAsia="ＭＳ 明朝" w:hAnsi="Arial" w:cs="Arial"/>
          <w:b/>
          <w:kern w:val="0"/>
          <w:sz w:val="28"/>
          <w:szCs w:val="21"/>
          <w:lang w:val="de-DE" w:eastAsia="zh-CN"/>
        </w:rPr>
      </w:pPr>
      <w:r w:rsidRPr="0007486D">
        <w:rPr>
          <w:rFonts w:ascii="Arial" w:eastAsia="ＭＳ 明朝" w:hAnsi="Arial" w:cs="Arial"/>
          <w:b/>
          <w:kern w:val="0"/>
          <w:sz w:val="28"/>
          <w:szCs w:val="21"/>
          <w:lang w:val="de-DE" w:eastAsia="zh-CN"/>
        </w:rPr>
        <w:t>Chicago, USA, November 13</w:t>
      </w:r>
      <w:r w:rsidRPr="0007486D">
        <w:rPr>
          <w:rFonts w:ascii="Arial" w:eastAsia="ＭＳ 明朝" w:hAnsi="Arial" w:cs="Arial" w:hint="eastAsia"/>
          <w:b/>
          <w:kern w:val="0"/>
          <w:sz w:val="28"/>
          <w:szCs w:val="21"/>
          <w:lang w:val="de-DE" w:eastAsia="zh-CN"/>
        </w:rPr>
        <w:t>th</w:t>
      </w:r>
      <w:r w:rsidRPr="0007486D">
        <w:rPr>
          <w:rFonts w:ascii="Arial" w:eastAsia="ＭＳ 明朝" w:hAnsi="Arial" w:cs="Arial"/>
          <w:b/>
          <w:kern w:val="0"/>
          <w:sz w:val="28"/>
          <w:szCs w:val="21"/>
          <w:lang w:val="de-DE" w:eastAsia="zh-CN"/>
        </w:rPr>
        <w:t xml:space="preserve"> – November 17th, 2023</w:t>
      </w:r>
    </w:p>
    <w:p w14:paraId="29922618" w14:textId="77777777" w:rsidR="00742984" w:rsidRPr="0007486D" w:rsidRDefault="00742984" w:rsidP="00CE1679">
      <w:pPr>
        <w:tabs>
          <w:tab w:val="center" w:pos="4536"/>
          <w:tab w:val="right" w:pos="9072"/>
        </w:tabs>
        <w:snapToGrid w:val="0"/>
        <w:rPr>
          <w:rFonts w:ascii="Arial" w:eastAsia="ＭＳ 明朝" w:hAnsi="Arial" w:cs="Arial"/>
          <w:b/>
          <w:kern w:val="0"/>
          <w:sz w:val="28"/>
          <w:szCs w:val="21"/>
          <w:lang w:val="de-DE" w:eastAsia="zh-CN"/>
        </w:rPr>
      </w:pPr>
    </w:p>
    <w:p w14:paraId="3CF68F20" w14:textId="77777777" w:rsidR="00FF062B" w:rsidRDefault="00FF062B" w:rsidP="009315B6">
      <w:pPr>
        <w:snapToGrid w:val="0"/>
        <w:spacing w:before="240"/>
        <w:rPr>
          <w:rFonts w:ascii="Arial" w:hAnsi="Arial" w:cs="Arial"/>
          <w:sz w:val="24"/>
          <w:szCs w:val="28"/>
        </w:rPr>
      </w:pPr>
      <w:r>
        <w:rPr>
          <w:rFonts w:ascii="Arial" w:hAnsi="Arial" w:cs="Arial"/>
          <w:b/>
        </w:rPr>
        <w:t>Agenda Item:</w:t>
      </w:r>
      <w:r>
        <w:rPr>
          <w:rFonts w:ascii="Arial" w:hAnsi="Arial" w:cs="Arial"/>
        </w:rPr>
        <w:tab/>
        <w:t>8.7.1</w:t>
      </w:r>
      <w:r>
        <w:rPr>
          <w:rFonts w:ascii="Arial" w:hAnsi="Arial" w:cs="Arial" w:hint="eastAsia"/>
        </w:rPr>
        <w:t xml:space="preserve">　</w:t>
      </w:r>
      <w:r w:rsidRPr="00421E06">
        <w:rPr>
          <w:rFonts w:ascii="Arial" w:hAnsi="Arial" w:cs="Arial"/>
        </w:rPr>
        <w:t xml:space="preserve"> </w:t>
      </w:r>
    </w:p>
    <w:p w14:paraId="793DA0D8" w14:textId="77777777" w:rsidR="00C2028F" w:rsidRDefault="00C2028F" w:rsidP="009315B6">
      <w:pPr>
        <w:snapToGrid w:val="0"/>
        <w:spacing w:before="240"/>
        <w:rPr>
          <w:rFonts w:ascii="Arial" w:hAnsi="Arial" w:cs="Arial"/>
        </w:rPr>
      </w:pPr>
      <w:r>
        <w:rPr>
          <w:rFonts w:ascii="Arial" w:hAnsi="Arial" w:cs="Arial"/>
          <w:b/>
        </w:rPr>
        <w:t>Source:</w:t>
      </w:r>
      <w:r>
        <w:rPr>
          <w:rFonts w:ascii="Arial" w:hAnsi="Arial" w:cs="Arial"/>
        </w:rPr>
        <w:tab/>
      </w:r>
      <w:r>
        <w:rPr>
          <w:rFonts w:ascii="Arial" w:hAnsi="Arial" w:cs="Arial"/>
        </w:rPr>
        <w:tab/>
        <w:t>KDDI Corporation</w:t>
      </w:r>
    </w:p>
    <w:p w14:paraId="4C50645F" w14:textId="034C570B" w:rsidR="00C2028F" w:rsidRPr="009C6DDD" w:rsidRDefault="00C2028F" w:rsidP="009315B6">
      <w:pPr>
        <w:snapToGrid w:val="0"/>
        <w:spacing w:before="240"/>
        <w:rPr>
          <w:rFonts w:ascii="Arial" w:eastAsiaTheme="minorEastAsia" w:hAnsi="Arial" w:cs="Arial"/>
          <w:kern w:val="0"/>
        </w:rPr>
      </w:pPr>
      <w:r>
        <w:rPr>
          <w:rFonts w:ascii="Arial" w:hAnsi="Arial" w:cs="Arial"/>
          <w:b/>
        </w:rPr>
        <w:t>Title:</w:t>
      </w:r>
      <w:r>
        <w:rPr>
          <w:rFonts w:ascii="Arial" w:hAnsi="Arial" w:cs="Arial"/>
        </w:rPr>
        <w:tab/>
      </w:r>
      <w:r>
        <w:rPr>
          <w:rFonts w:ascii="Arial" w:hAnsi="Arial" w:cs="Arial"/>
        </w:rPr>
        <w:tab/>
      </w:r>
      <w:r w:rsidR="008414E9">
        <w:rPr>
          <w:rFonts w:ascii="Arial" w:hAnsi="Arial" w:cs="Arial"/>
        </w:rPr>
        <w:t xml:space="preserve">Remaining issues on </w:t>
      </w:r>
      <w:r w:rsidR="00421E06">
        <w:rPr>
          <w:rFonts w:ascii="Arial" w:hAnsi="Arial" w:cs="Arial"/>
        </w:rPr>
        <w:t xml:space="preserve">L1 </w:t>
      </w:r>
      <w:r w:rsidR="00447167">
        <w:rPr>
          <w:rFonts w:ascii="Arial" w:hAnsi="Arial" w:cs="Arial"/>
        </w:rPr>
        <w:t>enhancements</w:t>
      </w:r>
      <w:r w:rsidR="00FC18CA">
        <w:rPr>
          <w:rFonts w:ascii="Arial" w:hAnsi="Arial" w:cs="Arial"/>
        </w:rPr>
        <w:t xml:space="preserve"> for </w:t>
      </w:r>
      <w:r w:rsidR="00554527">
        <w:rPr>
          <w:rFonts w:ascii="Arial" w:hAnsi="Arial" w:cs="Arial"/>
        </w:rPr>
        <w:t>L1/L2-triggered Mobility</w:t>
      </w:r>
    </w:p>
    <w:p w14:paraId="28D81DCA" w14:textId="73349D4D" w:rsidR="00C2028F" w:rsidRPr="00EA5BC1" w:rsidRDefault="00C2028F" w:rsidP="009315B6">
      <w:pPr>
        <w:pBdr>
          <w:bottom w:val="single" w:sz="4" w:space="1" w:color="auto"/>
        </w:pBdr>
        <w:snapToGrid w:val="0"/>
        <w:spacing w:before="240"/>
        <w:rPr>
          <w:rFonts w:ascii="Arial" w:hAnsi="Arial" w:cs="Arial"/>
        </w:rPr>
      </w:pPr>
      <w:r>
        <w:rPr>
          <w:rFonts w:ascii="Arial" w:hAnsi="Arial" w:cs="Arial"/>
          <w:b/>
        </w:rPr>
        <w:t>Document for:</w:t>
      </w:r>
      <w:r>
        <w:rPr>
          <w:rFonts w:ascii="Arial" w:hAnsi="Arial" w:cs="Arial"/>
        </w:rPr>
        <w:tab/>
        <w:t>Discussion and Decision</w:t>
      </w:r>
    </w:p>
    <w:p w14:paraId="05FBA29B" w14:textId="2D493689" w:rsidR="00C2028F" w:rsidRDefault="00C2028F" w:rsidP="000B1445">
      <w:pPr>
        <w:pStyle w:val="1"/>
        <w:numPr>
          <w:ilvl w:val="0"/>
          <w:numId w:val="1"/>
        </w:numPr>
        <w:snapToGrid w:val="0"/>
        <w:spacing w:before="240" w:after="240"/>
        <w:rPr>
          <w:rFonts w:ascii="Arial" w:hAnsi="Arial" w:cs="Arial"/>
          <w:b/>
          <w:sz w:val="28"/>
          <w:szCs w:val="28"/>
        </w:rPr>
      </w:pPr>
      <w:r>
        <w:rPr>
          <w:rFonts w:ascii="Arial" w:hAnsi="Arial" w:cs="Arial"/>
          <w:b/>
          <w:sz w:val="28"/>
          <w:szCs w:val="28"/>
        </w:rPr>
        <w:t xml:space="preserve">Introduction </w:t>
      </w:r>
    </w:p>
    <w:p w14:paraId="0D6AFE06" w14:textId="6D3D6563" w:rsidR="005D1D51" w:rsidRPr="00E0345A" w:rsidRDefault="007A58D8" w:rsidP="00CE1679">
      <w:pPr>
        <w:pStyle w:val="a7"/>
        <w:snapToGrid w:val="0"/>
        <w:spacing w:after="240"/>
        <w:ind w:leftChars="0" w:left="0"/>
        <w:rPr>
          <w:rFonts w:ascii="Times New Roman" w:hAnsi="Times New Roman"/>
          <w:sz w:val="20"/>
          <w:szCs w:val="20"/>
          <w:lang w:eastAsia="zh-CN"/>
        </w:rPr>
      </w:pPr>
      <w:r w:rsidRPr="00E0345A">
        <w:rPr>
          <w:rFonts w:ascii="Times New Roman" w:hAnsi="Times New Roman"/>
          <w:sz w:val="20"/>
          <w:szCs w:val="20"/>
          <w:lang w:eastAsia="zh-CN"/>
        </w:rPr>
        <w:t>To</w:t>
      </w:r>
      <w:r w:rsidR="007B5AF9" w:rsidRPr="00E0345A">
        <w:rPr>
          <w:rFonts w:ascii="Times New Roman" w:hAnsi="Times New Roman"/>
          <w:sz w:val="20"/>
          <w:szCs w:val="20"/>
          <w:lang w:eastAsia="zh-CN"/>
        </w:rPr>
        <w:t xml:space="preserve"> reduce the mobility latency, in Rel-18 WID on Further NR mobility enhancements, RP-231475 [1], one of the objectives was agreed to specify mechanism and procedures of Layer 1/Layer 2 (L1/L2)-triggered mobility (LTM) which includes the following items</w:t>
      </w:r>
      <w:r w:rsidR="005D1D51" w:rsidRPr="00E0345A">
        <w:rPr>
          <w:rFonts w:ascii="Times New Roman" w:hAnsi="Times New Roman"/>
          <w:sz w:val="20"/>
          <w:szCs w:val="20"/>
          <w:lang w:eastAsia="zh-CN"/>
        </w:rPr>
        <w:t>:</w:t>
      </w:r>
    </w:p>
    <w:tbl>
      <w:tblPr>
        <w:tblStyle w:val="a9"/>
        <w:tblW w:w="9776" w:type="dxa"/>
        <w:tblLook w:val="04A0" w:firstRow="1" w:lastRow="0" w:firstColumn="1" w:lastColumn="0" w:noHBand="0" w:noVBand="1"/>
      </w:tblPr>
      <w:tblGrid>
        <w:gridCol w:w="9776"/>
      </w:tblGrid>
      <w:tr w:rsidR="005D1D51" w:rsidRPr="005D1D51" w14:paraId="65E6A476" w14:textId="77777777" w:rsidTr="008A60A3">
        <w:tc>
          <w:tcPr>
            <w:tcW w:w="9776" w:type="dxa"/>
          </w:tcPr>
          <w:p w14:paraId="1B8C42E3" w14:textId="77777777" w:rsidR="00724678" w:rsidRPr="00DA7FDB" w:rsidRDefault="00724678" w:rsidP="00B04B6F">
            <w:pPr>
              <w:numPr>
                <w:ilvl w:val="0"/>
                <w:numId w:val="5"/>
              </w:numPr>
              <w:snapToGrid w:val="0"/>
              <w:spacing w:line="256" w:lineRule="auto"/>
              <w:rPr>
                <w:rFonts w:ascii="Times New Roman" w:hAnsi="Times New Roman"/>
                <w:kern w:val="2"/>
                <w:sz w:val="20"/>
                <w:szCs w:val="20"/>
                <w:lang w:eastAsia="zh-CN"/>
              </w:rPr>
            </w:pPr>
            <w:r w:rsidRPr="00DA7FDB">
              <w:rPr>
                <w:rFonts w:ascii="Times New Roman" w:hAnsi="Times New Roman"/>
                <w:kern w:val="2"/>
                <w:sz w:val="20"/>
                <w:szCs w:val="20"/>
                <w:lang w:eastAsia="zh-CN"/>
              </w:rPr>
              <w:t>To specify mechanism and procedures of L1/L2 based inter-cell mobility for mobility latency reduction:</w:t>
            </w:r>
          </w:p>
          <w:p w14:paraId="6EEEC139" w14:textId="77777777" w:rsidR="00724678" w:rsidRPr="00DA7FDB" w:rsidRDefault="00724678" w:rsidP="00B04B6F">
            <w:pPr>
              <w:numPr>
                <w:ilvl w:val="0"/>
                <w:numId w:val="3"/>
              </w:numPr>
              <w:snapToGrid w:val="0"/>
              <w:spacing w:line="256" w:lineRule="auto"/>
              <w:rPr>
                <w:rFonts w:ascii="Times New Roman" w:hAnsi="Times New Roman"/>
                <w:kern w:val="2"/>
                <w:sz w:val="20"/>
                <w:szCs w:val="20"/>
                <w:lang w:eastAsia="zh-CN"/>
              </w:rPr>
            </w:pPr>
            <w:r w:rsidRPr="00DA7FDB">
              <w:rPr>
                <w:rFonts w:ascii="Times New Roman" w:hAnsi="Times New Roman"/>
                <w:kern w:val="2"/>
                <w:sz w:val="20"/>
                <w:szCs w:val="20"/>
                <w:lang w:eastAsia="zh-CN"/>
              </w:rPr>
              <w:t>Configuration and maintenance for multiple candidate cells to allow fast application of configurations for candidate cells [RAN2, RAN3]</w:t>
            </w:r>
          </w:p>
          <w:p w14:paraId="5877A1D7" w14:textId="619CD25C" w:rsidR="00724678" w:rsidRPr="00DA7FDB" w:rsidRDefault="00724678" w:rsidP="00B04B6F">
            <w:pPr>
              <w:numPr>
                <w:ilvl w:val="0"/>
                <w:numId w:val="3"/>
              </w:numPr>
              <w:snapToGrid w:val="0"/>
              <w:spacing w:line="256" w:lineRule="auto"/>
              <w:rPr>
                <w:rFonts w:ascii="Times New Roman" w:hAnsi="Times New Roman"/>
                <w:sz w:val="20"/>
                <w:szCs w:val="20"/>
                <w:highlight w:val="green"/>
                <w:lang w:val="en-GB"/>
              </w:rPr>
            </w:pPr>
            <w:r w:rsidRPr="00DA7FDB">
              <w:rPr>
                <w:rFonts w:ascii="Times New Roman" w:hAnsi="Times New Roman"/>
                <w:kern w:val="2"/>
                <w:sz w:val="20"/>
                <w:szCs w:val="20"/>
                <w:highlight w:val="green"/>
                <w:lang w:eastAsia="zh-CN"/>
              </w:rPr>
              <w:t xml:space="preserve">Dynamic switch mechanism among candidate serving cells (including </w:t>
            </w:r>
            <w:proofErr w:type="spellStart"/>
            <w:r w:rsidRPr="00DA7FDB">
              <w:rPr>
                <w:rFonts w:ascii="Times New Roman" w:hAnsi="Times New Roman"/>
                <w:kern w:val="2"/>
                <w:sz w:val="20"/>
                <w:szCs w:val="20"/>
                <w:highlight w:val="green"/>
                <w:lang w:eastAsia="zh-CN"/>
              </w:rPr>
              <w:t>SpCell</w:t>
            </w:r>
            <w:proofErr w:type="spellEnd"/>
            <w:r w:rsidRPr="00DA7FDB">
              <w:rPr>
                <w:rFonts w:ascii="Times New Roman" w:hAnsi="Times New Roman"/>
                <w:kern w:val="2"/>
                <w:sz w:val="20"/>
                <w:szCs w:val="20"/>
                <w:highlight w:val="green"/>
                <w:lang w:eastAsia="zh-CN"/>
              </w:rPr>
              <w:t xml:space="preserve"> and </w:t>
            </w:r>
            <w:proofErr w:type="spellStart"/>
            <w:r w:rsidRPr="00DA7FDB">
              <w:rPr>
                <w:rFonts w:ascii="Times New Roman" w:hAnsi="Times New Roman"/>
                <w:kern w:val="2"/>
                <w:sz w:val="20"/>
                <w:szCs w:val="20"/>
                <w:highlight w:val="green"/>
                <w:lang w:eastAsia="zh-CN"/>
              </w:rPr>
              <w:t>SCell</w:t>
            </w:r>
            <w:proofErr w:type="spellEnd"/>
            <w:r w:rsidRPr="00DA7FDB">
              <w:rPr>
                <w:rFonts w:ascii="Times New Roman" w:hAnsi="Times New Roman"/>
                <w:kern w:val="2"/>
                <w:sz w:val="20"/>
                <w:szCs w:val="20"/>
                <w:highlight w:val="green"/>
                <w:lang w:eastAsia="zh-CN"/>
              </w:rPr>
              <w:t xml:space="preserve">) for the </w:t>
            </w:r>
            <w:r w:rsidR="000C6B28" w:rsidRPr="00DA7FDB">
              <w:rPr>
                <w:rFonts w:ascii="Times New Roman" w:hAnsi="Times New Roman"/>
                <w:sz w:val="20"/>
                <w:szCs w:val="20"/>
                <w:highlight w:val="green"/>
                <w:lang w:val="en-GB"/>
              </w:rPr>
              <w:t xml:space="preserve">potential </w:t>
            </w:r>
            <w:r w:rsidRPr="00DA7FDB">
              <w:rPr>
                <w:rFonts w:ascii="Times New Roman" w:hAnsi="Times New Roman"/>
                <w:sz w:val="20"/>
                <w:szCs w:val="20"/>
                <w:highlight w:val="green"/>
                <w:lang w:val="en-GB"/>
              </w:rPr>
              <w:t xml:space="preserve">applicable scenarios based on L1/L2 signalling [RAN2, </w:t>
            </w:r>
            <w:r w:rsidRPr="00DA7FDB">
              <w:rPr>
                <w:rFonts w:ascii="Times New Roman" w:hAnsi="Times New Roman"/>
                <w:b/>
                <w:bCs/>
                <w:sz w:val="20"/>
                <w:szCs w:val="20"/>
                <w:highlight w:val="green"/>
                <w:lang w:val="en-GB"/>
              </w:rPr>
              <w:t>RAN1</w:t>
            </w:r>
            <w:r w:rsidRPr="00DA7FDB">
              <w:rPr>
                <w:rFonts w:ascii="Times New Roman" w:hAnsi="Times New Roman"/>
                <w:sz w:val="20"/>
                <w:szCs w:val="20"/>
                <w:highlight w:val="green"/>
                <w:lang w:val="en-GB"/>
              </w:rPr>
              <w:t>]</w:t>
            </w:r>
          </w:p>
          <w:p w14:paraId="008891F2" w14:textId="77777777" w:rsidR="00724678" w:rsidRPr="00DA7FDB" w:rsidRDefault="00724678" w:rsidP="00B04B6F">
            <w:pPr>
              <w:numPr>
                <w:ilvl w:val="0"/>
                <w:numId w:val="3"/>
              </w:numPr>
              <w:snapToGrid w:val="0"/>
              <w:spacing w:line="256" w:lineRule="auto"/>
              <w:rPr>
                <w:rFonts w:ascii="Times New Roman" w:hAnsi="Times New Roman"/>
                <w:sz w:val="20"/>
                <w:szCs w:val="20"/>
                <w:highlight w:val="green"/>
                <w:lang w:val="en-GB"/>
              </w:rPr>
            </w:pPr>
            <w:r w:rsidRPr="00DA7FDB">
              <w:rPr>
                <w:rFonts w:ascii="Times New Roman" w:hAnsi="Times New Roman"/>
                <w:sz w:val="20"/>
                <w:szCs w:val="20"/>
                <w:highlight w:val="green"/>
                <w:lang w:val="en-GB"/>
              </w:rPr>
              <w:t>L1 enhancements for inter-cell beam management, including L1 measurement and reporting, and beam indication [</w:t>
            </w:r>
            <w:r w:rsidRPr="00DA7FDB">
              <w:rPr>
                <w:rFonts w:ascii="Times New Roman" w:hAnsi="Times New Roman"/>
                <w:b/>
                <w:bCs/>
                <w:sz w:val="20"/>
                <w:szCs w:val="20"/>
                <w:highlight w:val="green"/>
                <w:lang w:val="en-GB"/>
              </w:rPr>
              <w:t>RAN1</w:t>
            </w:r>
            <w:r w:rsidRPr="00DA7FDB">
              <w:rPr>
                <w:rFonts w:ascii="Times New Roman" w:hAnsi="Times New Roman"/>
                <w:sz w:val="20"/>
                <w:szCs w:val="20"/>
                <w:highlight w:val="green"/>
                <w:lang w:val="en-GB"/>
              </w:rPr>
              <w:t>, RAN2]</w:t>
            </w:r>
          </w:p>
          <w:p w14:paraId="426FC17B" w14:textId="77777777" w:rsidR="00F82995" w:rsidRPr="00F82995" w:rsidRDefault="00F82995" w:rsidP="00B04B6F">
            <w:pPr>
              <w:numPr>
                <w:ilvl w:val="1"/>
                <w:numId w:val="3"/>
              </w:numPr>
              <w:snapToGrid w:val="0"/>
              <w:rPr>
                <w:rFonts w:ascii="Times New Roman" w:hAnsi="Times New Roman"/>
                <w:i/>
                <w:iCs/>
                <w:sz w:val="20"/>
                <w:szCs w:val="20"/>
                <w:highlight w:val="green"/>
                <w:lang w:val="en-GB"/>
              </w:rPr>
            </w:pPr>
            <w:r w:rsidRPr="00F82995">
              <w:rPr>
                <w:rFonts w:ascii="Times New Roman" w:hAnsi="Times New Roman"/>
                <w:i/>
                <w:iCs/>
                <w:sz w:val="20"/>
                <w:szCs w:val="20"/>
                <w:highlight w:val="green"/>
                <w:lang w:val="en-GB"/>
              </w:rPr>
              <w:t>Note 1: Early RAN2 involvement is necessary, including the possibility of further clarifying the interaction between this bullet with the previous bullet</w:t>
            </w:r>
          </w:p>
          <w:p w14:paraId="545E6BAA" w14:textId="77777777" w:rsidR="00F82995" w:rsidRPr="00F82995" w:rsidRDefault="00F82995" w:rsidP="00B04B6F">
            <w:pPr>
              <w:numPr>
                <w:ilvl w:val="1"/>
                <w:numId w:val="3"/>
              </w:numPr>
              <w:snapToGrid w:val="0"/>
              <w:rPr>
                <w:rFonts w:ascii="Times New Roman" w:hAnsi="Times New Roman"/>
                <w:i/>
                <w:iCs/>
                <w:sz w:val="20"/>
                <w:szCs w:val="20"/>
                <w:highlight w:val="green"/>
                <w:lang w:val="en-GB"/>
              </w:rPr>
            </w:pPr>
            <w:r w:rsidRPr="00F82995">
              <w:rPr>
                <w:rFonts w:ascii="Times New Roman" w:hAnsi="Times New Roman" w:hint="eastAsia"/>
                <w:i/>
                <w:iCs/>
                <w:sz w:val="20"/>
                <w:szCs w:val="20"/>
                <w:highlight w:val="green"/>
                <w:lang w:val="en-GB"/>
              </w:rPr>
              <w:t>N</w:t>
            </w:r>
            <w:r w:rsidRPr="00F82995">
              <w:rPr>
                <w:rFonts w:ascii="Times New Roman" w:hAnsi="Times New Roman"/>
                <w:i/>
                <w:iCs/>
                <w:sz w:val="20"/>
                <w:szCs w:val="20"/>
                <w:highlight w:val="green"/>
                <w:lang w:val="en-GB"/>
              </w:rPr>
              <w:t>ote 2: Only SSB-based L1 measurement is supported in this release.</w:t>
            </w:r>
          </w:p>
          <w:p w14:paraId="2E23FE83" w14:textId="77777777" w:rsidR="00724678" w:rsidRPr="00DA7FDB" w:rsidRDefault="00724678" w:rsidP="00B04B6F">
            <w:pPr>
              <w:numPr>
                <w:ilvl w:val="0"/>
                <w:numId w:val="3"/>
              </w:numPr>
              <w:snapToGrid w:val="0"/>
              <w:spacing w:line="256" w:lineRule="auto"/>
              <w:rPr>
                <w:rFonts w:ascii="Times New Roman" w:hAnsi="Times New Roman"/>
                <w:sz w:val="20"/>
                <w:szCs w:val="20"/>
                <w:lang w:val="en-GB"/>
              </w:rPr>
            </w:pPr>
            <w:r w:rsidRPr="00DA7FDB">
              <w:rPr>
                <w:rFonts w:ascii="Times New Roman" w:hAnsi="Times New Roman"/>
                <w:sz w:val="20"/>
                <w:szCs w:val="20"/>
                <w:lang w:val="en-GB"/>
              </w:rPr>
              <w:t>Timing Advance management [</w:t>
            </w:r>
            <w:r w:rsidRPr="00DA7FDB">
              <w:rPr>
                <w:rFonts w:ascii="Times New Roman" w:hAnsi="Times New Roman"/>
                <w:b/>
                <w:bCs/>
                <w:sz w:val="20"/>
                <w:szCs w:val="20"/>
                <w:lang w:val="en-GB"/>
              </w:rPr>
              <w:t>RAN1</w:t>
            </w:r>
            <w:r w:rsidRPr="00DA7FDB">
              <w:rPr>
                <w:rFonts w:ascii="Times New Roman" w:hAnsi="Times New Roman"/>
                <w:sz w:val="20"/>
                <w:szCs w:val="20"/>
                <w:lang w:val="en-GB"/>
              </w:rPr>
              <w:t>, RAN2]</w:t>
            </w:r>
          </w:p>
          <w:p w14:paraId="35E7A9F1" w14:textId="77777777" w:rsidR="00724678" w:rsidRPr="00DA7FDB" w:rsidRDefault="00724678" w:rsidP="00B04B6F">
            <w:pPr>
              <w:numPr>
                <w:ilvl w:val="0"/>
                <w:numId w:val="3"/>
              </w:numPr>
              <w:snapToGrid w:val="0"/>
              <w:spacing w:line="256" w:lineRule="auto"/>
              <w:rPr>
                <w:rFonts w:ascii="Times New Roman" w:hAnsi="Times New Roman"/>
                <w:sz w:val="20"/>
                <w:szCs w:val="20"/>
                <w:lang w:val="en-GB"/>
              </w:rPr>
            </w:pPr>
            <w:r w:rsidRPr="00DA7FDB">
              <w:rPr>
                <w:rFonts w:ascii="Times New Roman" w:hAnsi="Times New Roman"/>
                <w:sz w:val="20"/>
                <w:szCs w:val="20"/>
                <w:lang w:val="en-GB"/>
              </w:rPr>
              <w:t xml:space="preserve">CU-DU interface </w:t>
            </w:r>
            <w:proofErr w:type="spellStart"/>
            <w:r w:rsidRPr="00DA7FDB">
              <w:rPr>
                <w:rFonts w:ascii="Times New Roman" w:hAnsi="Times New Roman"/>
                <w:sz w:val="20"/>
                <w:szCs w:val="20"/>
                <w:lang w:val="en-GB"/>
              </w:rPr>
              <w:t>signaling</w:t>
            </w:r>
            <w:proofErr w:type="spellEnd"/>
            <w:r w:rsidRPr="00DA7FDB">
              <w:rPr>
                <w:rFonts w:ascii="Times New Roman" w:hAnsi="Times New Roman"/>
                <w:sz w:val="20"/>
                <w:szCs w:val="20"/>
                <w:lang w:val="en-GB"/>
              </w:rPr>
              <w:t xml:space="preserve"> to support L1/L2 mobility, if needed [RAN3]</w:t>
            </w:r>
          </w:p>
          <w:p w14:paraId="136F432E" w14:textId="77777777" w:rsidR="00724678" w:rsidRPr="00DA7FDB" w:rsidRDefault="00724678" w:rsidP="00CE1679">
            <w:pPr>
              <w:snapToGrid w:val="0"/>
              <w:rPr>
                <w:rFonts w:ascii="Times New Roman" w:hAnsi="Times New Roman"/>
                <w:sz w:val="20"/>
                <w:szCs w:val="20"/>
                <w:lang w:val="en-GB"/>
              </w:rPr>
            </w:pPr>
          </w:p>
          <w:p w14:paraId="2E70F58F" w14:textId="52B177AE" w:rsidR="00724678" w:rsidRPr="00DA7FDB" w:rsidRDefault="00724678" w:rsidP="00CE1679">
            <w:pPr>
              <w:snapToGrid w:val="0"/>
              <w:ind w:left="720"/>
              <w:rPr>
                <w:rFonts w:ascii="Times New Roman" w:hAnsi="Times New Roman"/>
                <w:i/>
                <w:sz w:val="20"/>
                <w:szCs w:val="20"/>
                <w:lang w:val="en-GB"/>
              </w:rPr>
            </w:pPr>
            <w:r w:rsidRPr="00DA7FDB">
              <w:rPr>
                <w:rFonts w:ascii="Times New Roman" w:hAnsi="Times New Roman"/>
                <w:i/>
                <w:sz w:val="20"/>
                <w:szCs w:val="20"/>
                <w:lang w:val="en-GB"/>
              </w:rPr>
              <w:t xml:space="preserve">Note </w:t>
            </w:r>
            <w:r w:rsidR="00571268">
              <w:rPr>
                <w:rFonts w:ascii="Times New Roman" w:hAnsi="Times New Roman"/>
                <w:i/>
                <w:sz w:val="20"/>
                <w:szCs w:val="20"/>
                <w:lang w:val="en-GB"/>
              </w:rPr>
              <w:t>3</w:t>
            </w:r>
            <w:r w:rsidRPr="00DA7FDB">
              <w:rPr>
                <w:rFonts w:ascii="Times New Roman" w:hAnsi="Times New Roman"/>
                <w:i/>
                <w:sz w:val="20"/>
                <w:szCs w:val="20"/>
                <w:lang w:val="en-GB"/>
              </w:rPr>
              <w:t>: FR2 specific enhancements are not precluded, if any.</w:t>
            </w:r>
          </w:p>
          <w:p w14:paraId="3E892B1E" w14:textId="7D106FAE" w:rsidR="00724678" w:rsidRPr="00DA7FDB" w:rsidRDefault="00724678" w:rsidP="00CE1679">
            <w:pPr>
              <w:snapToGrid w:val="0"/>
              <w:ind w:left="720"/>
              <w:rPr>
                <w:rFonts w:ascii="Times New Roman" w:hAnsi="Times New Roman"/>
                <w:i/>
                <w:sz w:val="20"/>
                <w:szCs w:val="20"/>
                <w:lang w:val="en-GB"/>
              </w:rPr>
            </w:pPr>
            <w:r w:rsidRPr="00DA7FDB">
              <w:rPr>
                <w:rFonts w:ascii="Times New Roman" w:hAnsi="Times New Roman"/>
                <w:i/>
                <w:sz w:val="20"/>
                <w:szCs w:val="20"/>
                <w:lang w:val="en-GB"/>
              </w:rPr>
              <w:t xml:space="preserve">Note </w:t>
            </w:r>
            <w:r w:rsidR="00571268">
              <w:rPr>
                <w:rFonts w:ascii="Times New Roman" w:hAnsi="Times New Roman"/>
                <w:i/>
                <w:sz w:val="20"/>
                <w:szCs w:val="20"/>
                <w:lang w:val="en-GB"/>
              </w:rPr>
              <w:t>4</w:t>
            </w:r>
            <w:r w:rsidRPr="00DA7FDB">
              <w:rPr>
                <w:rFonts w:ascii="Times New Roman" w:hAnsi="Times New Roman"/>
                <w:i/>
                <w:sz w:val="20"/>
                <w:szCs w:val="20"/>
                <w:lang w:val="en-GB"/>
              </w:rPr>
              <w:t>: The procedure of L1/L2 based inter-cell mobility are applicable to the following scenarios:</w:t>
            </w:r>
          </w:p>
          <w:p w14:paraId="08D41373" w14:textId="77777777" w:rsidR="00BF55F1" w:rsidRDefault="00BF55F1" w:rsidP="00B04B6F">
            <w:pPr>
              <w:numPr>
                <w:ilvl w:val="2"/>
                <w:numId w:val="6"/>
              </w:numPr>
              <w:snapToGrid w:val="0"/>
              <w:spacing w:line="256" w:lineRule="auto"/>
              <w:ind w:left="1443"/>
              <w:rPr>
                <w:rFonts w:ascii="Times New Roman" w:hAnsi="Times New Roman"/>
                <w:i/>
                <w:sz w:val="20"/>
                <w:szCs w:val="20"/>
                <w:lang w:val="en-GB"/>
              </w:rPr>
            </w:pPr>
            <w:r w:rsidRPr="00BF55F1">
              <w:rPr>
                <w:rFonts w:ascii="Times New Roman" w:hAnsi="Times New Roman"/>
                <w:i/>
                <w:sz w:val="20"/>
                <w:szCs w:val="20"/>
                <w:lang w:val="en-GB"/>
              </w:rPr>
              <w:t>Standalone, CA and NR-DC case with serving cell change within one CG, prioritizing MCG</w:t>
            </w:r>
            <w:r w:rsidRPr="00DA7FDB">
              <w:rPr>
                <w:rFonts w:ascii="Times New Roman" w:hAnsi="Times New Roman"/>
                <w:i/>
                <w:sz w:val="20"/>
                <w:szCs w:val="20"/>
                <w:lang w:val="en-GB"/>
              </w:rPr>
              <w:t xml:space="preserve"> </w:t>
            </w:r>
          </w:p>
          <w:p w14:paraId="762608C5" w14:textId="3D15CFDD" w:rsidR="00724678" w:rsidRPr="00DA7FDB" w:rsidRDefault="00724678" w:rsidP="00B04B6F">
            <w:pPr>
              <w:numPr>
                <w:ilvl w:val="2"/>
                <w:numId w:val="6"/>
              </w:numPr>
              <w:snapToGrid w:val="0"/>
              <w:spacing w:line="256" w:lineRule="auto"/>
              <w:ind w:left="1443"/>
              <w:rPr>
                <w:rFonts w:ascii="Times New Roman" w:hAnsi="Times New Roman"/>
                <w:i/>
                <w:sz w:val="20"/>
                <w:szCs w:val="20"/>
                <w:lang w:val="en-GB"/>
              </w:rPr>
            </w:pPr>
            <w:r w:rsidRPr="00DA7FDB">
              <w:rPr>
                <w:rFonts w:ascii="Times New Roman" w:hAnsi="Times New Roman"/>
                <w:i/>
                <w:sz w:val="20"/>
                <w:szCs w:val="20"/>
                <w:lang w:val="en-GB"/>
              </w:rPr>
              <w:t>Intra-DU case and intra-CU inter-DU case (applicable for Standalone and CA: no new RAN interfaces are expected)</w:t>
            </w:r>
          </w:p>
          <w:p w14:paraId="2C2B6740" w14:textId="77777777" w:rsidR="00724678" w:rsidRPr="00DA7FDB" w:rsidRDefault="00724678" w:rsidP="00B04B6F">
            <w:pPr>
              <w:numPr>
                <w:ilvl w:val="2"/>
                <w:numId w:val="6"/>
              </w:numPr>
              <w:snapToGrid w:val="0"/>
              <w:spacing w:line="256" w:lineRule="auto"/>
              <w:ind w:left="1443"/>
              <w:rPr>
                <w:rFonts w:ascii="Times New Roman" w:hAnsi="Times New Roman"/>
                <w:i/>
                <w:sz w:val="20"/>
                <w:szCs w:val="20"/>
                <w:lang w:val="en-GB"/>
              </w:rPr>
            </w:pPr>
            <w:r w:rsidRPr="00DA7FDB">
              <w:rPr>
                <w:rFonts w:ascii="Times New Roman" w:hAnsi="Times New Roman"/>
                <w:i/>
                <w:sz w:val="20"/>
                <w:szCs w:val="20"/>
                <w:lang w:val="en-GB"/>
              </w:rPr>
              <w:t>Both intra-frequency and inter-frequency</w:t>
            </w:r>
          </w:p>
          <w:p w14:paraId="25564186" w14:textId="77777777" w:rsidR="00334991" w:rsidRPr="00DA7FDB" w:rsidRDefault="00724678" w:rsidP="00B04B6F">
            <w:pPr>
              <w:numPr>
                <w:ilvl w:val="2"/>
                <w:numId w:val="6"/>
              </w:numPr>
              <w:snapToGrid w:val="0"/>
              <w:spacing w:line="256" w:lineRule="auto"/>
              <w:ind w:left="1443"/>
              <w:rPr>
                <w:rFonts w:ascii="Times New Roman" w:hAnsi="Times New Roman"/>
                <w:i/>
                <w:sz w:val="20"/>
                <w:szCs w:val="20"/>
              </w:rPr>
            </w:pPr>
            <w:r w:rsidRPr="00DA7FDB">
              <w:rPr>
                <w:rFonts w:ascii="Times New Roman" w:hAnsi="Times New Roman"/>
                <w:i/>
                <w:sz w:val="20"/>
                <w:szCs w:val="20"/>
              </w:rPr>
              <w:t>Both FR1 and FR2</w:t>
            </w:r>
          </w:p>
          <w:p w14:paraId="14AA575F" w14:textId="6631F378" w:rsidR="005D1D51" w:rsidRPr="00334991" w:rsidRDefault="00724678" w:rsidP="00B04B6F">
            <w:pPr>
              <w:numPr>
                <w:ilvl w:val="2"/>
                <w:numId w:val="6"/>
              </w:numPr>
              <w:snapToGrid w:val="0"/>
              <w:spacing w:line="256" w:lineRule="auto"/>
              <w:ind w:left="1443"/>
              <w:rPr>
                <w:rFonts w:ascii="Times New Roman" w:hAnsi="Times New Roman"/>
                <w:i/>
                <w:sz w:val="21"/>
                <w:szCs w:val="21"/>
              </w:rPr>
            </w:pPr>
            <w:r w:rsidRPr="00DA7FDB">
              <w:rPr>
                <w:rFonts w:ascii="Times New Roman" w:hAnsi="Times New Roman"/>
                <w:i/>
                <w:sz w:val="20"/>
                <w:szCs w:val="20"/>
                <w:lang w:val="en-GB"/>
              </w:rPr>
              <w:t>Source and target cells may be synchronized or non-synchronized</w:t>
            </w:r>
          </w:p>
        </w:tc>
      </w:tr>
    </w:tbl>
    <w:p w14:paraId="199A667E" w14:textId="471EC498" w:rsidR="00C92BCA" w:rsidRPr="00920E59" w:rsidRDefault="005D1D51" w:rsidP="00C92BCA">
      <w:pPr>
        <w:snapToGrid w:val="0"/>
        <w:spacing w:before="240" w:after="240"/>
        <w:rPr>
          <w:rFonts w:ascii="Times New Roman" w:hAnsi="Times New Roman"/>
          <w:sz w:val="20"/>
          <w:szCs w:val="20"/>
        </w:rPr>
      </w:pPr>
      <w:r w:rsidRPr="00920E59">
        <w:rPr>
          <w:rFonts w:ascii="Times New Roman" w:hAnsi="Times New Roman"/>
          <w:sz w:val="20"/>
          <w:szCs w:val="20"/>
        </w:rPr>
        <w:t>The WI also includes corresponding justification point:</w:t>
      </w:r>
    </w:p>
    <w:tbl>
      <w:tblPr>
        <w:tblStyle w:val="a9"/>
        <w:tblW w:w="9776" w:type="dxa"/>
        <w:tblLook w:val="04A0" w:firstRow="1" w:lastRow="0" w:firstColumn="1" w:lastColumn="0" w:noHBand="0" w:noVBand="1"/>
      </w:tblPr>
      <w:tblGrid>
        <w:gridCol w:w="9776"/>
      </w:tblGrid>
      <w:tr w:rsidR="005D1D51" w:rsidRPr="00920E59" w14:paraId="3C251F7C" w14:textId="77777777" w:rsidTr="008A60A3">
        <w:tc>
          <w:tcPr>
            <w:tcW w:w="9776" w:type="dxa"/>
          </w:tcPr>
          <w:p w14:paraId="25BC1959" w14:textId="7DD4CAC8" w:rsidR="00E2355D" w:rsidRPr="00920E59" w:rsidRDefault="005D1D51" w:rsidP="00FB2BD6">
            <w:pPr>
              <w:overflowPunct w:val="0"/>
              <w:autoSpaceDE w:val="0"/>
              <w:autoSpaceDN w:val="0"/>
              <w:adjustRightInd w:val="0"/>
              <w:snapToGrid w:val="0"/>
              <w:textAlignment w:val="baseline"/>
              <w:rPr>
                <w:rFonts w:ascii="Times New Roman" w:hAnsi="Times New Roman"/>
                <w:kern w:val="2"/>
                <w:sz w:val="20"/>
                <w:szCs w:val="20"/>
              </w:rPr>
            </w:pPr>
            <w:r w:rsidRPr="00920E59">
              <w:rPr>
                <w:rFonts w:ascii="Times New Roman" w:hAnsi="Times New Roman"/>
                <w:kern w:val="2"/>
                <w:sz w:val="20"/>
                <w:szCs w:val="20"/>
              </w:rPr>
              <w:t>When the UE moves from the</w:t>
            </w:r>
            <w:r w:rsidRPr="00920E59">
              <w:rPr>
                <w:rFonts w:ascii="Times New Roman" w:hAnsi="Times New Roman" w:hint="eastAsia"/>
                <w:kern w:val="2"/>
                <w:sz w:val="20"/>
                <w:szCs w:val="20"/>
              </w:rPr>
              <w:t xml:space="preserve"> </w:t>
            </w:r>
            <w:r w:rsidRPr="00920E59">
              <w:rPr>
                <w:rFonts w:ascii="Times New Roman" w:hAnsi="Times New Roman"/>
                <w:kern w:val="2"/>
                <w:sz w:val="20"/>
                <w:szCs w:val="20"/>
              </w:rPr>
              <w:t>coverage area of one cell to another cell, at some point a serving cell change needs to be performed. Currently</w:t>
            </w:r>
            <w:r w:rsidRPr="00920E59">
              <w:rPr>
                <w:rFonts w:ascii="Times New Roman" w:hAnsi="Times New Roman" w:hint="eastAsia"/>
                <w:kern w:val="2"/>
                <w:sz w:val="20"/>
                <w:szCs w:val="20"/>
              </w:rPr>
              <w:t xml:space="preserve"> </w:t>
            </w:r>
            <w:r w:rsidRPr="00920E59">
              <w:rPr>
                <w:rFonts w:ascii="Times New Roman" w:hAnsi="Times New Roman"/>
                <w:kern w:val="2"/>
                <w:sz w:val="20"/>
                <w:szCs w:val="20"/>
              </w:rPr>
              <w:t xml:space="preserve">serving cell change is triggered by L3 measurements and is done by RRC </w:t>
            </w:r>
            <w:proofErr w:type="spellStart"/>
            <w:r w:rsidRPr="00920E59">
              <w:rPr>
                <w:rFonts w:ascii="Times New Roman" w:hAnsi="Times New Roman"/>
                <w:kern w:val="2"/>
                <w:sz w:val="20"/>
                <w:szCs w:val="20"/>
              </w:rPr>
              <w:t>signalling</w:t>
            </w:r>
            <w:proofErr w:type="spellEnd"/>
            <w:r w:rsidRPr="00920E59">
              <w:rPr>
                <w:rFonts w:ascii="Times New Roman" w:hAnsi="Times New Roman"/>
                <w:kern w:val="2"/>
                <w:sz w:val="20"/>
                <w:szCs w:val="20"/>
              </w:rPr>
              <w:t xml:space="preserve"> triggered Reconfiguration</w:t>
            </w:r>
            <w:r w:rsidRPr="00920E59">
              <w:rPr>
                <w:rFonts w:ascii="Times New Roman" w:hAnsi="Times New Roman" w:hint="eastAsia"/>
                <w:kern w:val="2"/>
                <w:sz w:val="20"/>
                <w:szCs w:val="20"/>
              </w:rPr>
              <w:t xml:space="preserve"> </w:t>
            </w:r>
            <w:r w:rsidRPr="00920E59">
              <w:rPr>
                <w:rFonts w:ascii="Times New Roman" w:hAnsi="Times New Roman"/>
                <w:kern w:val="2"/>
                <w:sz w:val="20"/>
                <w:szCs w:val="20"/>
              </w:rPr>
              <w:t xml:space="preserve">with </w:t>
            </w:r>
            <w:proofErr w:type="spellStart"/>
            <w:r w:rsidRPr="00920E59">
              <w:rPr>
                <w:rFonts w:ascii="Times New Roman" w:hAnsi="Times New Roman"/>
                <w:kern w:val="2"/>
                <w:sz w:val="20"/>
                <w:szCs w:val="20"/>
              </w:rPr>
              <w:t>Synchronisation</w:t>
            </w:r>
            <w:proofErr w:type="spellEnd"/>
            <w:r w:rsidRPr="00920E59">
              <w:rPr>
                <w:rFonts w:ascii="Times New Roman" w:hAnsi="Times New Roman"/>
                <w:kern w:val="2"/>
                <w:sz w:val="20"/>
                <w:szCs w:val="20"/>
              </w:rPr>
              <w:t xml:space="preserve"> for change of </w:t>
            </w:r>
            <w:proofErr w:type="spellStart"/>
            <w:r w:rsidRPr="00920E59">
              <w:rPr>
                <w:rFonts w:ascii="Times New Roman" w:hAnsi="Times New Roman"/>
                <w:kern w:val="2"/>
                <w:sz w:val="20"/>
                <w:szCs w:val="20"/>
              </w:rPr>
              <w:t>PCell</w:t>
            </w:r>
            <w:proofErr w:type="spellEnd"/>
            <w:r w:rsidRPr="00920E59">
              <w:rPr>
                <w:rFonts w:ascii="Times New Roman" w:hAnsi="Times New Roman"/>
                <w:kern w:val="2"/>
                <w:sz w:val="20"/>
                <w:szCs w:val="20"/>
              </w:rPr>
              <w:t xml:space="preserve"> and </w:t>
            </w:r>
            <w:proofErr w:type="spellStart"/>
            <w:r w:rsidRPr="00920E59">
              <w:rPr>
                <w:rFonts w:ascii="Times New Roman" w:hAnsi="Times New Roman"/>
                <w:kern w:val="2"/>
                <w:sz w:val="20"/>
                <w:szCs w:val="20"/>
              </w:rPr>
              <w:t>PSCell</w:t>
            </w:r>
            <w:proofErr w:type="spellEnd"/>
            <w:r w:rsidRPr="00920E59">
              <w:rPr>
                <w:rFonts w:ascii="Times New Roman" w:hAnsi="Times New Roman"/>
                <w:kern w:val="2"/>
                <w:sz w:val="20"/>
                <w:szCs w:val="20"/>
              </w:rPr>
              <w:t xml:space="preserve">, as well as release add for </w:t>
            </w:r>
            <w:proofErr w:type="spellStart"/>
            <w:r w:rsidRPr="00920E59">
              <w:rPr>
                <w:rFonts w:ascii="Times New Roman" w:hAnsi="Times New Roman"/>
                <w:kern w:val="2"/>
                <w:sz w:val="20"/>
                <w:szCs w:val="20"/>
              </w:rPr>
              <w:t>SCells</w:t>
            </w:r>
            <w:proofErr w:type="spellEnd"/>
            <w:r w:rsidRPr="00920E59">
              <w:rPr>
                <w:rFonts w:ascii="Times New Roman" w:hAnsi="Times New Roman"/>
                <w:kern w:val="2"/>
                <w:sz w:val="20"/>
                <w:szCs w:val="20"/>
              </w:rPr>
              <w:t xml:space="preserve"> when applicable. All cases involve</w:t>
            </w:r>
            <w:r w:rsidRPr="00920E59">
              <w:rPr>
                <w:rFonts w:ascii="Times New Roman" w:hAnsi="Times New Roman" w:hint="eastAsia"/>
                <w:kern w:val="2"/>
                <w:sz w:val="20"/>
                <w:szCs w:val="20"/>
              </w:rPr>
              <w:t xml:space="preserve"> </w:t>
            </w:r>
            <w:r w:rsidRPr="00920E59">
              <w:rPr>
                <w:rFonts w:ascii="Times New Roman" w:hAnsi="Times New Roman"/>
                <w:kern w:val="2"/>
                <w:sz w:val="20"/>
                <w:szCs w:val="20"/>
              </w:rPr>
              <w:t xml:space="preserve">complete L2 (and L1) resets, leading to longer latency, larger </w:t>
            </w:r>
            <w:proofErr w:type="gramStart"/>
            <w:r w:rsidRPr="00920E59">
              <w:rPr>
                <w:rFonts w:ascii="Times New Roman" w:hAnsi="Times New Roman"/>
                <w:kern w:val="2"/>
                <w:sz w:val="20"/>
                <w:szCs w:val="20"/>
              </w:rPr>
              <w:t>overhead</w:t>
            </w:r>
            <w:proofErr w:type="gramEnd"/>
            <w:r w:rsidRPr="00920E59">
              <w:rPr>
                <w:rFonts w:ascii="Times New Roman" w:hAnsi="Times New Roman"/>
                <w:kern w:val="2"/>
                <w:sz w:val="20"/>
                <w:szCs w:val="20"/>
              </w:rPr>
              <w:t xml:space="preserve"> and longer interruption time than</w:t>
            </w:r>
            <w:r w:rsidRPr="00920E59">
              <w:rPr>
                <w:rFonts w:ascii="Times New Roman" w:hAnsi="Times New Roman" w:hint="eastAsia"/>
                <w:kern w:val="2"/>
                <w:sz w:val="20"/>
                <w:szCs w:val="20"/>
              </w:rPr>
              <w:t xml:space="preserve"> </w:t>
            </w:r>
            <w:r w:rsidRPr="00920E59">
              <w:rPr>
                <w:rFonts w:ascii="Times New Roman" w:hAnsi="Times New Roman"/>
                <w:kern w:val="2"/>
                <w:sz w:val="20"/>
                <w:szCs w:val="20"/>
              </w:rPr>
              <w:t>beam switch mobility. The goal of L1/L2 mobility enhancements is to enable a serving cell change via</w:t>
            </w:r>
            <w:r w:rsidRPr="00920E59">
              <w:rPr>
                <w:rFonts w:ascii="Times New Roman" w:hAnsi="Times New Roman" w:hint="eastAsia"/>
                <w:kern w:val="2"/>
                <w:sz w:val="20"/>
                <w:szCs w:val="20"/>
              </w:rPr>
              <w:t xml:space="preserve"> </w:t>
            </w:r>
            <w:r w:rsidRPr="00920E59">
              <w:rPr>
                <w:rFonts w:ascii="Times New Roman" w:hAnsi="Times New Roman"/>
                <w:kern w:val="2"/>
                <w:sz w:val="20"/>
                <w:szCs w:val="20"/>
              </w:rPr>
              <w:t xml:space="preserve">L1/L2 </w:t>
            </w:r>
            <w:proofErr w:type="spellStart"/>
            <w:r w:rsidRPr="00920E59">
              <w:rPr>
                <w:rFonts w:ascii="Times New Roman" w:hAnsi="Times New Roman"/>
                <w:kern w:val="2"/>
                <w:sz w:val="20"/>
                <w:szCs w:val="20"/>
              </w:rPr>
              <w:t>signalling</w:t>
            </w:r>
            <w:proofErr w:type="spellEnd"/>
            <w:r w:rsidRPr="00920E59">
              <w:rPr>
                <w:rFonts w:ascii="Times New Roman" w:hAnsi="Times New Roman"/>
                <w:kern w:val="2"/>
                <w:sz w:val="20"/>
                <w:szCs w:val="20"/>
              </w:rPr>
              <w:t xml:space="preserve">, </w:t>
            </w:r>
            <w:proofErr w:type="gramStart"/>
            <w:r w:rsidRPr="00920E59">
              <w:rPr>
                <w:rFonts w:ascii="Times New Roman" w:hAnsi="Times New Roman"/>
                <w:kern w:val="2"/>
                <w:sz w:val="20"/>
                <w:szCs w:val="20"/>
              </w:rPr>
              <w:t>in order to</w:t>
            </w:r>
            <w:proofErr w:type="gramEnd"/>
            <w:r w:rsidRPr="00920E59">
              <w:rPr>
                <w:rFonts w:ascii="Times New Roman" w:hAnsi="Times New Roman"/>
                <w:kern w:val="2"/>
                <w:sz w:val="20"/>
                <w:szCs w:val="20"/>
              </w:rPr>
              <w:t xml:space="preserve"> reduce the latency, overhead and interruption time.</w:t>
            </w:r>
          </w:p>
        </w:tc>
      </w:tr>
    </w:tbl>
    <w:p w14:paraId="16FAF677" w14:textId="656ED396" w:rsidR="000700A1" w:rsidRPr="000B1445" w:rsidRDefault="005D1D51" w:rsidP="000B1445">
      <w:pPr>
        <w:snapToGrid w:val="0"/>
        <w:spacing w:before="240"/>
        <w:rPr>
          <w:rFonts w:ascii="Times New Roman" w:hAnsi="Times New Roman"/>
          <w:sz w:val="20"/>
          <w:szCs w:val="20"/>
        </w:rPr>
      </w:pPr>
      <w:r w:rsidRPr="00920E59">
        <w:rPr>
          <w:rFonts w:ascii="Times New Roman" w:hAnsi="Times New Roman"/>
          <w:sz w:val="20"/>
          <w:szCs w:val="20"/>
        </w:rPr>
        <w:t xml:space="preserve">This contribution discusses </w:t>
      </w:r>
      <w:r w:rsidR="00BC3F56" w:rsidRPr="00920E59">
        <w:rPr>
          <w:rFonts w:ascii="Times New Roman" w:hAnsi="Times New Roman"/>
          <w:sz w:val="20"/>
          <w:szCs w:val="20"/>
        </w:rPr>
        <w:t>L1 enhancements for inter-cell beam management</w:t>
      </w:r>
      <w:r w:rsidR="00542449" w:rsidRPr="00920E59">
        <w:rPr>
          <w:rFonts w:ascii="Times New Roman" w:hAnsi="Times New Roman" w:hint="eastAsia"/>
          <w:sz w:val="20"/>
          <w:szCs w:val="20"/>
        </w:rPr>
        <w:t xml:space="preserve"> </w:t>
      </w:r>
      <w:r w:rsidRPr="00920E59">
        <w:rPr>
          <w:rFonts w:ascii="Times New Roman" w:hAnsi="Times New Roman"/>
          <w:sz w:val="20"/>
          <w:szCs w:val="20"/>
        </w:rPr>
        <w:t xml:space="preserve">aspects of </w:t>
      </w:r>
      <w:r w:rsidR="00AC1646" w:rsidRPr="00920E59">
        <w:rPr>
          <w:rFonts w:ascii="Times New Roman" w:hAnsi="Times New Roman"/>
          <w:sz w:val="20"/>
          <w:szCs w:val="20"/>
        </w:rPr>
        <w:t>Layer 1/Layer 2 (L1/L2)-triggered mobility (LTM)</w:t>
      </w:r>
      <w:r w:rsidR="002F474E" w:rsidRPr="00920E59">
        <w:rPr>
          <w:rFonts w:ascii="Times New Roman" w:hAnsi="Times New Roman"/>
          <w:sz w:val="20"/>
          <w:szCs w:val="20"/>
        </w:rPr>
        <w:t xml:space="preserve"> </w:t>
      </w:r>
      <w:r w:rsidR="002A0294" w:rsidRPr="00920E59">
        <w:rPr>
          <w:rFonts w:ascii="Times New Roman" w:hAnsi="Times New Roman"/>
          <w:sz w:val="20"/>
          <w:szCs w:val="20"/>
        </w:rPr>
        <w:t>and provide our</w:t>
      </w:r>
      <w:r w:rsidR="00A80AEA" w:rsidRPr="00920E59">
        <w:rPr>
          <w:rFonts w:ascii="Times New Roman" w:hAnsi="Times New Roman"/>
          <w:sz w:val="20"/>
          <w:szCs w:val="20"/>
        </w:rPr>
        <w:t xml:space="preserve"> views </w:t>
      </w:r>
      <w:r w:rsidR="002F474E" w:rsidRPr="00920E59">
        <w:rPr>
          <w:rFonts w:ascii="Times New Roman" w:hAnsi="Times New Roman"/>
          <w:sz w:val="20"/>
          <w:szCs w:val="20"/>
        </w:rPr>
        <w:t xml:space="preserve">on </w:t>
      </w:r>
      <w:r w:rsidR="002A0294" w:rsidRPr="00920E59">
        <w:rPr>
          <w:rFonts w:ascii="Times New Roman" w:hAnsi="Times New Roman"/>
          <w:sz w:val="20"/>
          <w:szCs w:val="20"/>
        </w:rPr>
        <w:t xml:space="preserve">the </w:t>
      </w:r>
      <w:r w:rsidR="006132FF" w:rsidRPr="00920E59">
        <w:rPr>
          <w:rFonts w:ascii="Times New Roman" w:hAnsi="Times New Roman"/>
          <w:sz w:val="20"/>
          <w:szCs w:val="20"/>
        </w:rPr>
        <w:t>remai</w:t>
      </w:r>
      <w:r w:rsidR="00227003" w:rsidRPr="00920E59">
        <w:rPr>
          <w:rFonts w:ascii="Times New Roman" w:hAnsi="Times New Roman"/>
          <w:sz w:val="20"/>
          <w:szCs w:val="20"/>
        </w:rPr>
        <w:t>ni</w:t>
      </w:r>
      <w:r w:rsidR="006132FF" w:rsidRPr="00920E59">
        <w:rPr>
          <w:rFonts w:ascii="Times New Roman" w:hAnsi="Times New Roman"/>
          <w:sz w:val="20"/>
          <w:szCs w:val="20"/>
        </w:rPr>
        <w:t>ng</w:t>
      </w:r>
      <w:r w:rsidR="002F474E" w:rsidRPr="00920E59">
        <w:rPr>
          <w:rFonts w:ascii="Times New Roman" w:hAnsi="Times New Roman"/>
          <w:sz w:val="20"/>
          <w:szCs w:val="20"/>
        </w:rPr>
        <w:t xml:space="preserve"> items</w:t>
      </w:r>
      <w:r w:rsidR="00AC1646" w:rsidRPr="00920E59">
        <w:rPr>
          <w:rFonts w:ascii="Times New Roman" w:hAnsi="Times New Roman"/>
          <w:sz w:val="20"/>
          <w:szCs w:val="20"/>
        </w:rPr>
        <w:t>.</w:t>
      </w:r>
    </w:p>
    <w:p w14:paraId="7C9D7A39" w14:textId="77777777" w:rsidR="00C2028F" w:rsidRDefault="00C2028F" w:rsidP="000B1445">
      <w:pPr>
        <w:pStyle w:val="1"/>
        <w:numPr>
          <w:ilvl w:val="0"/>
          <w:numId w:val="1"/>
        </w:numPr>
        <w:snapToGrid w:val="0"/>
        <w:spacing w:before="240" w:after="240"/>
        <w:rPr>
          <w:rFonts w:ascii="Arial" w:hAnsi="Arial" w:cs="Arial"/>
          <w:b/>
          <w:sz w:val="28"/>
          <w:szCs w:val="28"/>
        </w:rPr>
      </w:pPr>
      <w:r>
        <w:rPr>
          <w:rFonts w:ascii="Arial" w:hAnsi="Arial" w:cs="Arial"/>
          <w:b/>
          <w:sz w:val="28"/>
          <w:szCs w:val="28"/>
        </w:rPr>
        <w:lastRenderedPageBreak/>
        <w:t xml:space="preserve">Discussion </w:t>
      </w:r>
    </w:p>
    <w:p w14:paraId="692BEF57" w14:textId="2C8FA459" w:rsidR="001F2DF6" w:rsidRPr="0036431C" w:rsidRDefault="0037511F" w:rsidP="00CE1679">
      <w:pPr>
        <w:pStyle w:val="2"/>
        <w:snapToGrid w:val="0"/>
        <w:rPr>
          <w:rFonts w:eastAsia="DengXian"/>
          <w:lang w:eastAsia="zh-CN"/>
        </w:rPr>
      </w:pPr>
      <w:r>
        <w:rPr>
          <w:sz w:val="24"/>
          <w:szCs w:val="24"/>
          <w:lang w:eastAsia="zh-CN"/>
        </w:rPr>
        <w:t>Cell switch command</w:t>
      </w:r>
    </w:p>
    <w:p w14:paraId="64C00473" w14:textId="77777777" w:rsidR="00FB6A10" w:rsidRPr="0004321E" w:rsidRDefault="00FB6A10" w:rsidP="00FB6A10">
      <w:pPr>
        <w:snapToGrid w:val="0"/>
        <w:rPr>
          <w:rFonts w:ascii="Times New Roman" w:hAnsi="Times New Roman"/>
          <w:sz w:val="20"/>
          <w:szCs w:val="20"/>
        </w:rPr>
      </w:pPr>
      <w:r w:rsidRPr="0004321E">
        <w:rPr>
          <w:sz w:val="20"/>
          <w:szCs w:val="20"/>
          <w:lang w:val="en-GB"/>
        </w:rPr>
        <w:t>I</w:t>
      </w:r>
      <w:r w:rsidRPr="0004321E">
        <w:rPr>
          <w:rFonts w:ascii="Times New Roman" w:hAnsi="Times New Roman"/>
          <w:sz w:val="20"/>
          <w:szCs w:val="20"/>
        </w:rPr>
        <w:t>n RAN1#114</w:t>
      </w:r>
      <w:r>
        <w:rPr>
          <w:rFonts w:ascii="Times New Roman" w:hAnsi="Times New Roman"/>
          <w:sz w:val="20"/>
          <w:szCs w:val="20"/>
        </w:rPr>
        <w:t>bis</w:t>
      </w:r>
      <w:r w:rsidRPr="0004321E">
        <w:rPr>
          <w:rFonts w:ascii="Times New Roman" w:hAnsi="Times New Roman"/>
          <w:sz w:val="20"/>
          <w:szCs w:val="20"/>
        </w:rPr>
        <w:t>, FL proposed below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FB6A10" w:rsidRPr="0004321E" w14:paraId="4FEC779D" w14:textId="77777777" w:rsidTr="00EB2CBD">
        <w:tc>
          <w:tcPr>
            <w:tcW w:w="9736" w:type="dxa"/>
            <w:tcBorders>
              <w:top w:val="single" w:sz="4" w:space="0" w:color="auto"/>
              <w:left w:val="single" w:sz="4" w:space="0" w:color="auto"/>
              <w:bottom w:val="single" w:sz="4" w:space="0" w:color="auto"/>
              <w:right w:val="single" w:sz="4" w:space="0" w:color="auto"/>
            </w:tcBorders>
            <w:hideMark/>
          </w:tcPr>
          <w:p w14:paraId="3577AB69" w14:textId="77777777" w:rsidR="00FB6A10" w:rsidRPr="00C4387D" w:rsidRDefault="00FB6A10" w:rsidP="00EB2CBD">
            <w:pPr>
              <w:rPr>
                <w:rFonts w:ascii="Times New Roman" w:hAnsi="Times New Roman"/>
                <w:sz w:val="20"/>
                <w:szCs w:val="20"/>
              </w:rPr>
            </w:pPr>
            <w:r w:rsidRPr="00C4387D">
              <w:rPr>
                <w:rFonts w:ascii="Times New Roman" w:hAnsi="Times New Roman"/>
                <w:b/>
                <w:bCs/>
                <w:sz w:val="20"/>
                <w:szCs w:val="20"/>
                <w:u w:val="single"/>
              </w:rPr>
              <w:t>For FL Proposal 5-4-1a-v5</w:t>
            </w:r>
            <w:r w:rsidRPr="00C4387D">
              <w:rPr>
                <w:rFonts w:ascii="Times New Roman" w:hAnsi="Times New Roman"/>
                <w:sz w:val="20"/>
                <w:szCs w:val="20"/>
              </w:rPr>
              <w:t xml:space="preserve">, FL suggestion is to postpone the decision until RAN1#115 as RAN2 is discussing the same issue. </w:t>
            </w:r>
          </w:p>
          <w:p w14:paraId="4AF7A9BE" w14:textId="77777777" w:rsidR="00FB6A10" w:rsidRPr="00C4387D" w:rsidRDefault="00FB6A10" w:rsidP="00EB2CBD">
            <w:pPr>
              <w:pStyle w:val="a7"/>
              <w:numPr>
                <w:ilvl w:val="0"/>
                <w:numId w:val="7"/>
              </w:numPr>
              <w:snapToGrid w:val="0"/>
              <w:spacing w:after="100" w:afterAutospacing="1"/>
              <w:ind w:leftChars="0"/>
              <w:rPr>
                <w:rFonts w:ascii="Times New Roman" w:hAnsi="Times New Roman"/>
                <w:sz w:val="20"/>
                <w:szCs w:val="20"/>
              </w:rPr>
            </w:pPr>
            <w:r w:rsidRPr="00C4387D">
              <w:rPr>
                <w:rFonts w:ascii="Times New Roman" w:hAnsi="Times New Roman"/>
                <w:sz w:val="20"/>
                <w:szCs w:val="20"/>
              </w:rPr>
              <w:t xml:space="preserve">In Rel-18 LTM and when </w:t>
            </w:r>
            <w:r w:rsidRPr="00C4387D">
              <w:rPr>
                <w:rFonts w:ascii="Times New Roman" w:hAnsi="Times New Roman"/>
                <w:sz w:val="20"/>
                <w:szCs w:val="20"/>
                <w:highlight w:val="yellow"/>
              </w:rPr>
              <w:t>TCI-state field</w:t>
            </w:r>
            <w:r w:rsidRPr="00C4387D">
              <w:rPr>
                <w:rFonts w:ascii="Times New Roman" w:hAnsi="Times New Roman"/>
                <w:sz w:val="20"/>
                <w:szCs w:val="20"/>
              </w:rPr>
              <w:t xml:space="preserve"> is included in the cell switch command, for the scenario where the UE needs to perform RACH-based LTM after receiving cell switch command,</w:t>
            </w:r>
          </w:p>
          <w:p w14:paraId="1A37CC9F" w14:textId="77777777" w:rsidR="00FB6A10" w:rsidRPr="00C4387D" w:rsidRDefault="00FB6A10" w:rsidP="00EB2CBD">
            <w:pPr>
              <w:pStyle w:val="a7"/>
              <w:numPr>
                <w:ilvl w:val="1"/>
                <w:numId w:val="16"/>
              </w:numPr>
              <w:snapToGrid w:val="0"/>
              <w:spacing w:after="100" w:afterAutospacing="1"/>
              <w:ind w:leftChars="0"/>
              <w:rPr>
                <w:rFonts w:ascii="Times New Roman" w:hAnsi="Times New Roman"/>
                <w:sz w:val="20"/>
                <w:szCs w:val="20"/>
              </w:rPr>
            </w:pPr>
            <w:r w:rsidRPr="00C4387D">
              <w:rPr>
                <w:rFonts w:ascii="Times New Roman" w:hAnsi="Times New Roman"/>
                <w:sz w:val="20"/>
                <w:szCs w:val="20"/>
              </w:rPr>
              <w:t xml:space="preserve">Opt.1: </w:t>
            </w:r>
            <w:r w:rsidRPr="00C4387D">
              <w:rPr>
                <w:rFonts w:ascii="Times New Roman" w:hAnsi="Times New Roman"/>
                <w:color w:val="000000"/>
                <w:sz w:val="20"/>
                <w:szCs w:val="20"/>
              </w:rPr>
              <w:t>During and after RACH procedure until a new TCI state is indicated by the target cell</w:t>
            </w:r>
            <w:r w:rsidRPr="00C4387D">
              <w:rPr>
                <w:rStyle w:val="contentpasted1"/>
                <w:rFonts w:ascii="Times New Roman" w:hAnsi="Times New Roman"/>
                <w:color w:val="000000"/>
                <w:sz w:val="20"/>
                <w:szCs w:val="20"/>
                <w:shd w:val="clear" w:color="auto" w:fill="FFFF00"/>
              </w:rPr>
              <w:t xml:space="preserve">, </w:t>
            </w:r>
            <w:r w:rsidRPr="00C4387D">
              <w:rPr>
                <w:rStyle w:val="contentpasted1"/>
                <w:rFonts w:ascii="Times New Roman" w:hAnsi="Times New Roman"/>
                <w:color w:val="000000"/>
                <w:sz w:val="20"/>
                <w:szCs w:val="20"/>
                <w:highlight w:val="yellow"/>
                <w:shd w:val="clear" w:color="auto" w:fill="FFFF00"/>
              </w:rPr>
              <w:t>a UE follows the indicated TCI-state in the cell switch</w:t>
            </w:r>
            <w:r w:rsidRPr="00C4387D">
              <w:rPr>
                <w:rStyle w:val="apple-converted-space"/>
                <w:rFonts w:ascii="Times New Roman" w:hAnsi="Times New Roman"/>
                <w:color w:val="000000"/>
                <w:sz w:val="20"/>
                <w:szCs w:val="20"/>
                <w:highlight w:val="yellow"/>
              </w:rPr>
              <w:t> </w:t>
            </w:r>
            <w:r w:rsidRPr="00C4387D">
              <w:rPr>
                <w:rFonts w:ascii="Times New Roman" w:hAnsi="Times New Roman"/>
                <w:color w:val="000000"/>
                <w:sz w:val="20"/>
                <w:szCs w:val="20"/>
                <w:highlight w:val="yellow"/>
              </w:rPr>
              <w:t>command.</w:t>
            </w:r>
            <w:r w:rsidRPr="00C4387D">
              <w:rPr>
                <w:rFonts w:ascii="Times New Roman" w:hAnsi="Times New Roman"/>
                <w:sz w:val="20"/>
                <w:szCs w:val="20"/>
              </w:rPr>
              <w:t> </w:t>
            </w:r>
          </w:p>
          <w:p w14:paraId="69B1A722" w14:textId="77777777" w:rsidR="00FB6A10" w:rsidRPr="00C4387D" w:rsidRDefault="00FB6A10" w:rsidP="00EB2CBD">
            <w:pPr>
              <w:pStyle w:val="a7"/>
              <w:numPr>
                <w:ilvl w:val="1"/>
                <w:numId w:val="16"/>
              </w:numPr>
              <w:snapToGrid w:val="0"/>
              <w:spacing w:after="100" w:afterAutospacing="1"/>
              <w:ind w:leftChars="0"/>
              <w:rPr>
                <w:rFonts w:ascii="Times New Roman" w:hAnsi="Times New Roman"/>
                <w:sz w:val="20"/>
                <w:szCs w:val="20"/>
              </w:rPr>
            </w:pPr>
            <w:r w:rsidRPr="00C4387D">
              <w:rPr>
                <w:rFonts w:ascii="Times New Roman" w:hAnsi="Times New Roman"/>
                <w:sz w:val="20"/>
                <w:szCs w:val="20"/>
              </w:rPr>
              <w:t xml:space="preserve">Opt.2: </w:t>
            </w:r>
            <w:r w:rsidRPr="00C4387D">
              <w:rPr>
                <w:rFonts w:ascii="Times New Roman" w:hAnsi="Times New Roman"/>
                <w:color w:val="000000"/>
                <w:sz w:val="20"/>
                <w:szCs w:val="20"/>
              </w:rPr>
              <w:t>During and after RACH procedure until a new TCI state is indicated by the target cell, a</w:t>
            </w:r>
            <w:r w:rsidRPr="00C4387D">
              <w:rPr>
                <w:rFonts w:ascii="Times New Roman" w:hAnsi="Times New Roman"/>
                <w:sz w:val="20"/>
                <w:szCs w:val="20"/>
              </w:rPr>
              <w:t xml:space="preserve"> </w:t>
            </w:r>
            <w:r w:rsidRPr="00C4387D">
              <w:rPr>
                <w:rStyle w:val="contentpasted1"/>
                <w:rFonts w:ascii="Times New Roman" w:hAnsi="Times New Roman"/>
                <w:color w:val="000000"/>
                <w:sz w:val="20"/>
                <w:szCs w:val="20"/>
                <w:highlight w:val="green"/>
                <w:shd w:val="clear" w:color="auto" w:fill="FFFF00"/>
              </w:rPr>
              <w:t xml:space="preserve">UE follows the SSB identified </w:t>
            </w:r>
            <w:r w:rsidRPr="00C4387D">
              <w:rPr>
                <w:rFonts w:ascii="Times New Roman" w:hAnsi="Times New Roman"/>
                <w:color w:val="000000"/>
                <w:sz w:val="20"/>
                <w:szCs w:val="20"/>
                <w:highlight w:val="green"/>
              </w:rPr>
              <w:t>during a recent RACH procedure.</w:t>
            </w:r>
            <w:r w:rsidRPr="00C4387D">
              <w:rPr>
                <w:rFonts w:ascii="Times New Roman" w:hAnsi="Times New Roman"/>
                <w:sz w:val="20"/>
                <w:szCs w:val="20"/>
              </w:rPr>
              <w:t> </w:t>
            </w:r>
          </w:p>
          <w:p w14:paraId="5F65A61B" w14:textId="77777777" w:rsidR="00FB6A10" w:rsidRPr="003E04C7" w:rsidRDefault="00FB6A10" w:rsidP="00EB2CBD">
            <w:pPr>
              <w:pStyle w:val="a7"/>
              <w:numPr>
                <w:ilvl w:val="1"/>
                <w:numId w:val="16"/>
              </w:numPr>
              <w:snapToGrid w:val="0"/>
              <w:spacing w:after="100" w:afterAutospacing="1"/>
              <w:ind w:leftChars="0"/>
              <w:rPr>
                <w:rFonts w:ascii="Times New Roman" w:hAnsi="Times New Roman"/>
                <w:sz w:val="20"/>
                <w:szCs w:val="20"/>
              </w:rPr>
            </w:pPr>
            <w:r w:rsidRPr="00C4387D">
              <w:rPr>
                <w:rFonts w:ascii="Times New Roman" w:hAnsi="Times New Roman"/>
                <w:sz w:val="20"/>
                <w:szCs w:val="20"/>
              </w:rPr>
              <w:t xml:space="preserve">Opt.3: </w:t>
            </w:r>
            <w:r w:rsidRPr="003E04C7">
              <w:rPr>
                <w:rFonts w:ascii="Times New Roman" w:hAnsi="Times New Roman"/>
                <w:color w:val="000000"/>
                <w:sz w:val="20"/>
                <w:szCs w:val="20"/>
              </w:rPr>
              <w:t xml:space="preserve">During RACH procedure, </w:t>
            </w:r>
            <w:r w:rsidRPr="003E04C7">
              <w:rPr>
                <w:rFonts w:ascii="Times New Roman" w:hAnsi="Times New Roman"/>
                <w:color w:val="000000"/>
                <w:sz w:val="20"/>
                <w:szCs w:val="20"/>
                <w:highlight w:val="green"/>
              </w:rPr>
              <w:t>a</w:t>
            </w:r>
            <w:r w:rsidRPr="003E04C7">
              <w:rPr>
                <w:rFonts w:ascii="Times New Roman" w:hAnsi="Times New Roman"/>
                <w:sz w:val="20"/>
                <w:szCs w:val="20"/>
                <w:highlight w:val="green"/>
              </w:rPr>
              <w:t xml:space="preserve"> </w:t>
            </w:r>
            <w:r w:rsidRPr="003E04C7">
              <w:rPr>
                <w:rStyle w:val="contentpasted1"/>
                <w:rFonts w:ascii="Times New Roman" w:hAnsi="Times New Roman"/>
                <w:color w:val="000000"/>
                <w:sz w:val="20"/>
                <w:szCs w:val="20"/>
                <w:highlight w:val="green"/>
                <w:shd w:val="clear" w:color="auto" w:fill="FFFF00"/>
              </w:rPr>
              <w:t xml:space="preserve">UE follows the SSB identified </w:t>
            </w:r>
            <w:r w:rsidRPr="003E04C7">
              <w:rPr>
                <w:rFonts w:ascii="Times New Roman" w:hAnsi="Times New Roman"/>
                <w:color w:val="000000"/>
                <w:sz w:val="20"/>
                <w:szCs w:val="20"/>
                <w:highlight w:val="green"/>
              </w:rPr>
              <w:t>during a recent RACH procedure.</w:t>
            </w:r>
            <w:r>
              <w:rPr>
                <w:rFonts w:ascii="Times New Roman" w:hAnsi="Times New Roman"/>
                <w:color w:val="000000"/>
                <w:sz w:val="20"/>
                <w:szCs w:val="20"/>
              </w:rPr>
              <w:t xml:space="preserve"> </w:t>
            </w:r>
            <w:r w:rsidRPr="003E04C7">
              <w:rPr>
                <w:rFonts w:ascii="Times New Roman" w:hAnsi="Times New Roman"/>
                <w:color w:val="000000"/>
                <w:sz w:val="20"/>
                <w:szCs w:val="20"/>
              </w:rPr>
              <w:t xml:space="preserve">After RACH procedure until a new TCI state is indicated by the target cell, </w:t>
            </w:r>
            <w:r w:rsidRPr="003E04C7">
              <w:rPr>
                <w:rStyle w:val="contentpasted1"/>
                <w:rFonts w:ascii="Times New Roman" w:hAnsi="Times New Roman"/>
                <w:color w:val="000000"/>
                <w:sz w:val="20"/>
                <w:szCs w:val="20"/>
                <w:shd w:val="clear" w:color="auto" w:fill="FFFF00"/>
              </w:rPr>
              <w:t>a UE follows the indicated TCI-state in the cell switch</w:t>
            </w:r>
            <w:r w:rsidRPr="003E04C7">
              <w:rPr>
                <w:rStyle w:val="apple-converted-space"/>
                <w:rFonts w:ascii="Times New Roman" w:hAnsi="Times New Roman"/>
                <w:color w:val="000000"/>
                <w:sz w:val="20"/>
                <w:szCs w:val="20"/>
              </w:rPr>
              <w:t> </w:t>
            </w:r>
            <w:r w:rsidRPr="003E04C7">
              <w:rPr>
                <w:rFonts w:ascii="Times New Roman" w:hAnsi="Times New Roman"/>
                <w:color w:val="000000"/>
                <w:sz w:val="20"/>
                <w:szCs w:val="20"/>
                <w:highlight w:val="yellow"/>
              </w:rPr>
              <w:t>command</w:t>
            </w:r>
          </w:p>
          <w:p w14:paraId="59A24315" w14:textId="77777777" w:rsidR="00FB6A10" w:rsidRPr="00B04B6F" w:rsidRDefault="00FB6A10" w:rsidP="00EB2CBD">
            <w:pPr>
              <w:pStyle w:val="a7"/>
              <w:numPr>
                <w:ilvl w:val="1"/>
                <w:numId w:val="16"/>
              </w:numPr>
              <w:snapToGrid w:val="0"/>
              <w:spacing w:after="100" w:afterAutospacing="1"/>
              <w:ind w:leftChars="0"/>
              <w:rPr>
                <w:rFonts w:ascii="Times New Roman" w:hAnsi="Times New Roman"/>
                <w:sz w:val="20"/>
                <w:szCs w:val="20"/>
              </w:rPr>
            </w:pPr>
            <w:r w:rsidRPr="003E04C7">
              <w:rPr>
                <w:rFonts w:ascii="Times New Roman" w:hAnsi="Times New Roman"/>
                <w:color w:val="000000"/>
                <w:sz w:val="20"/>
                <w:szCs w:val="20"/>
              </w:rPr>
              <w:t xml:space="preserve">Opt.4: CFRA with Opt.1 and CBRA with Opt.2. </w:t>
            </w:r>
          </w:p>
          <w:p w14:paraId="40F45E56" w14:textId="77777777" w:rsidR="00FB6A10" w:rsidRPr="00B04B6F" w:rsidRDefault="00FB6A10" w:rsidP="00EB2CBD">
            <w:pPr>
              <w:pStyle w:val="a7"/>
              <w:numPr>
                <w:ilvl w:val="1"/>
                <w:numId w:val="16"/>
              </w:numPr>
              <w:snapToGrid w:val="0"/>
              <w:spacing w:after="100" w:afterAutospacing="1"/>
              <w:ind w:leftChars="0"/>
              <w:rPr>
                <w:rFonts w:ascii="Times New Roman" w:hAnsi="Times New Roman"/>
                <w:sz w:val="20"/>
                <w:szCs w:val="20"/>
              </w:rPr>
            </w:pPr>
            <w:r w:rsidRPr="003E04C7">
              <w:rPr>
                <w:rFonts w:ascii="Times New Roman" w:hAnsi="Times New Roman"/>
                <w:sz w:val="20"/>
                <w:szCs w:val="20"/>
              </w:rPr>
              <w:t xml:space="preserve">Opt.5: </w:t>
            </w:r>
            <w:r w:rsidRPr="00B04B6F">
              <w:rPr>
                <w:rFonts w:ascii="Times New Roman" w:hAnsi="Times New Roman"/>
                <w:color w:val="000000"/>
                <w:sz w:val="20"/>
                <w:szCs w:val="20"/>
              </w:rPr>
              <w:t xml:space="preserve">During RACH procedure, </w:t>
            </w:r>
            <w:r w:rsidRPr="00B04B6F">
              <w:rPr>
                <w:rFonts w:ascii="Times New Roman" w:hAnsi="Times New Roman"/>
                <w:color w:val="000000"/>
                <w:sz w:val="20"/>
                <w:szCs w:val="20"/>
                <w:highlight w:val="cyan"/>
              </w:rPr>
              <w:t>a</w:t>
            </w:r>
            <w:r w:rsidRPr="00B04B6F">
              <w:rPr>
                <w:rFonts w:ascii="Times New Roman" w:hAnsi="Times New Roman"/>
                <w:sz w:val="20"/>
                <w:szCs w:val="20"/>
                <w:highlight w:val="cyan"/>
              </w:rPr>
              <w:t xml:space="preserve"> </w:t>
            </w:r>
            <w:r w:rsidRPr="00B04B6F">
              <w:rPr>
                <w:rStyle w:val="contentpasted1"/>
                <w:rFonts w:ascii="Times New Roman" w:hAnsi="Times New Roman"/>
                <w:color w:val="000000"/>
                <w:sz w:val="20"/>
                <w:szCs w:val="20"/>
                <w:highlight w:val="cyan"/>
                <w:shd w:val="clear" w:color="auto" w:fill="FFFF00"/>
              </w:rPr>
              <w:t>UE follows the SSB of the indicated TCI-state in the cell switch</w:t>
            </w:r>
            <w:r w:rsidRPr="00B04B6F">
              <w:rPr>
                <w:rStyle w:val="apple-converted-space"/>
                <w:rFonts w:ascii="Times New Roman" w:hAnsi="Times New Roman"/>
                <w:color w:val="000000"/>
                <w:sz w:val="20"/>
                <w:szCs w:val="20"/>
                <w:highlight w:val="cyan"/>
              </w:rPr>
              <w:t> </w:t>
            </w:r>
            <w:r w:rsidRPr="00B04B6F">
              <w:rPr>
                <w:rFonts w:ascii="Times New Roman" w:hAnsi="Times New Roman"/>
                <w:color w:val="000000"/>
                <w:sz w:val="20"/>
                <w:szCs w:val="20"/>
                <w:highlight w:val="cyan"/>
              </w:rPr>
              <w:t>command.</w:t>
            </w:r>
            <w:r w:rsidRPr="00B04B6F">
              <w:rPr>
                <w:rFonts w:ascii="Times New Roman" w:hAnsi="Times New Roman"/>
                <w:color w:val="000000"/>
                <w:sz w:val="20"/>
                <w:szCs w:val="20"/>
              </w:rPr>
              <w:t xml:space="preserve"> After RACH procedure until a new TCI state is indicated by the target cell, </w:t>
            </w:r>
            <w:r w:rsidRPr="00B04B6F">
              <w:rPr>
                <w:rStyle w:val="contentpasted1"/>
                <w:rFonts w:ascii="Times New Roman" w:hAnsi="Times New Roman"/>
                <w:color w:val="000000"/>
                <w:sz w:val="20"/>
                <w:szCs w:val="20"/>
                <w:shd w:val="clear" w:color="auto" w:fill="FFFF00"/>
              </w:rPr>
              <w:t>a UE follows the indicated TCI-state in the cell switch</w:t>
            </w:r>
            <w:r w:rsidRPr="00B04B6F">
              <w:rPr>
                <w:rStyle w:val="apple-converted-space"/>
                <w:rFonts w:ascii="Times New Roman" w:hAnsi="Times New Roman"/>
                <w:color w:val="000000"/>
                <w:sz w:val="20"/>
                <w:szCs w:val="20"/>
              </w:rPr>
              <w:t> </w:t>
            </w:r>
            <w:r w:rsidRPr="00B04B6F">
              <w:rPr>
                <w:rFonts w:ascii="Times New Roman" w:hAnsi="Times New Roman"/>
                <w:color w:val="000000"/>
                <w:sz w:val="20"/>
                <w:szCs w:val="20"/>
                <w:highlight w:val="yellow"/>
              </w:rPr>
              <w:t>command</w:t>
            </w:r>
          </w:p>
          <w:p w14:paraId="79D3DDAF" w14:textId="77777777" w:rsidR="00FB6A10" w:rsidRPr="00B04B6F" w:rsidRDefault="00FB6A10" w:rsidP="00EB2CBD">
            <w:pPr>
              <w:pStyle w:val="a7"/>
              <w:numPr>
                <w:ilvl w:val="1"/>
                <w:numId w:val="16"/>
              </w:numPr>
              <w:snapToGrid w:val="0"/>
              <w:spacing w:after="100" w:afterAutospacing="1"/>
              <w:ind w:leftChars="0"/>
              <w:rPr>
                <w:rFonts w:ascii="Times New Roman" w:hAnsi="Times New Roman"/>
                <w:sz w:val="20"/>
                <w:szCs w:val="20"/>
              </w:rPr>
            </w:pPr>
            <w:r w:rsidRPr="00B04B6F">
              <w:rPr>
                <w:rFonts w:ascii="Times New Roman" w:hAnsi="Times New Roman"/>
                <w:sz w:val="20"/>
                <w:szCs w:val="20"/>
              </w:rPr>
              <w:t>Opt.6:</w:t>
            </w:r>
            <w:r>
              <w:rPr>
                <w:rFonts w:ascii="Times New Roman" w:hAnsi="Times New Roman"/>
                <w:sz w:val="20"/>
                <w:szCs w:val="20"/>
              </w:rPr>
              <w:t xml:space="preserve"> </w:t>
            </w:r>
            <w:r w:rsidRPr="00B04B6F">
              <w:rPr>
                <w:rFonts w:ascii="Times New Roman" w:hAnsi="Times New Roman"/>
                <w:color w:val="000000"/>
                <w:sz w:val="20"/>
                <w:szCs w:val="20"/>
              </w:rPr>
              <w:t xml:space="preserve">Channels associate with RACH </w:t>
            </w:r>
            <w:proofErr w:type="gramStart"/>
            <w:r w:rsidRPr="00B04B6F">
              <w:rPr>
                <w:rFonts w:ascii="Times New Roman" w:hAnsi="Times New Roman"/>
                <w:color w:val="000000"/>
                <w:sz w:val="20"/>
                <w:szCs w:val="20"/>
              </w:rPr>
              <w:t>procedure,</w:t>
            </w:r>
            <w:proofErr w:type="gramEnd"/>
            <w:r w:rsidRPr="00B04B6F">
              <w:rPr>
                <w:rFonts w:ascii="Times New Roman" w:hAnsi="Times New Roman"/>
                <w:color w:val="000000"/>
                <w:sz w:val="20"/>
                <w:szCs w:val="20"/>
              </w:rPr>
              <w:t xml:space="preserve"> </w:t>
            </w:r>
            <w:r w:rsidRPr="00B04B6F">
              <w:rPr>
                <w:rFonts w:ascii="Times New Roman" w:hAnsi="Times New Roman"/>
                <w:color w:val="000000"/>
                <w:sz w:val="20"/>
                <w:szCs w:val="20"/>
                <w:highlight w:val="green"/>
              </w:rPr>
              <w:t>a</w:t>
            </w:r>
            <w:r w:rsidRPr="00B04B6F">
              <w:rPr>
                <w:rFonts w:ascii="Times New Roman" w:hAnsi="Times New Roman"/>
                <w:sz w:val="20"/>
                <w:szCs w:val="20"/>
                <w:highlight w:val="green"/>
              </w:rPr>
              <w:t xml:space="preserve"> </w:t>
            </w:r>
            <w:r w:rsidRPr="00B04B6F">
              <w:rPr>
                <w:rStyle w:val="contentpasted1"/>
                <w:rFonts w:ascii="Times New Roman" w:hAnsi="Times New Roman"/>
                <w:color w:val="000000"/>
                <w:sz w:val="20"/>
                <w:szCs w:val="20"/>
                <w:highlight w:val="green"/>
                <w:shd w:val="clear" w:color="auto" w:fill="FFFF00"/>
              </w:rPr>
              <w:t xml:space="preserve">UE follows the SSB identified </w:t>
            </w:r>
            <w:r w:rsidRPr="00B04B6F">
              <w:rPr>
                <w:rFonts w:ascii="Times New Roman" w:hAnsi="Times New Roman"/>
                <w:color w:val="000000"/>
                <w:sz w:val="20"/>
                <w:szCs w:val="20"/>
                <w:highlight w:val="green"/>
              </w:rPr>
              <w:t>during a recent RACH procedure.</w:t>
            </w:r>
            <w:r>
              <w:rPr>
                <w:rFonts w:ascii="Times New Roman" w:hAnsi="Times New Roman"/>
                <w:color w:val="000000"/>
                <w:sz w:val="20"/>
                <w:szCs w:val="20"/>
              </w:rPr>
              <w:t xml:space="preserve"> </w:t>
            </w:r>
            <w:r w:rsidRPr="00B04B6F">
              <w:rPr>
                <w:rFonts w:ascii="Times New Roman" w:hAnsi="Times New Roman"/>
                <w:color w:val="000000"/>
                <w:sz w:val="20"/>
                <w:szCs w:val="20"/>
              </w:rPr>
              <w:t xml:space="preserve">Channel following indicated TCI states until a new TCI state is indicated by the target cell, </w:t>
            </w:r>
            <w:r w:rsidRPr="00B04B6F">
              <w:rPr>
                <w:rStyle w:val="contentpasted1"/>
                <w:rFonts w:ascii="Times New Roman" w:hAnsi="Times New Roman"/>
                <w:color w:val="000000"/>
                <w:sz w:val="20"/>
                <w:szCs w:val="20"/>
                <w:shd w:val="clear" w:color="auto" w:fill="FFFF00"/>
              </w:rPr>
              <w:t>a UE follows the indicated TCI-state in the cell switch</w:t>
            </w:r>
            <w:r w:rsidRPr="00B04B6F">
              <w:rPr>
                <w:rStyle w:val="apple-converted-space"/>
                <w:rFonts w:ascii="Times New Roman" w:hAnsi="Times New Roman"/>
                <w:color w:val="000000"/>
                <w:sz w:val="20"/>
                <w:szCs w:val="20"/>
              </w:rPr>
              <w:t> </w:t>
            </w:r>
            <w:r w:rsidRPr="00B04B6F">
              <w:rPr>
                <w:rFonts w:ascii="Times New Roman" w:hAnsi="Times New Roman"/>
                <w:color w:val="000000"/>
                <w:sz w:val="20"/>
                <w:szCs w:val="20"/>
                <w:highlight w:val="yellow"/>
              </w:rPr>
              <w:t>command</w:t>
            </w:r>
          </w:p>
        </w:tc>
      </w:tr>
    </w:tbl>
    <w:p w14:paraId="3DB59162" w14:textId="77777777" w:rsidR="00FB6A10" w:rsidRPr="006C3326" w:rsidRDefault="00FB6A10" w:rsidP="00FB6A10">
      <w:pPr>
        <w:snapToGrid w:val="0"/>
        <w:spacing w:after="240"/>
        <w:contextualSpacing/>
        <w:rPr>
          <w:rFonts w:ascii="Times New Roman" w:hAnsi="Times New Roman"/>
          <w:sz w:val="20"/>
          <w:szCs w:val="20"/>
        </w:rPr>
      </w:pPr>
      <w:r w:rsidRPr="006C3326">
        <w:rPr>
          <w:rFonts w:ascii="Times New Roman" w:hAnsi="Times New Roman"/>
          <w:sz w:val="20"/>
          <w:szCs w:val="20"/>
        </w:rPr>
        <w:t>Choosing the best option depends on several factor. Here's a brief analysis of each option:</w:t>
      </w:r>
    </w:p>
    <w:p w14:paraId="79974426" w14:textId="77777777" w:rsidR="006C3326" w:rsidRPr="006C3326" w:rsidRDefault="006C3326" w:rsidP="00FB6A10">
      <w:pPr>
        <w:numPr>
          <w:ilvl w:val="0"/>
          <w:numId w:val="9"/>
        </w:numPr>
        <w:snapToGrid w:val="0"/>
        <w:contextualSpacing/>
        <w:rPr>
          <w:rFonts w:ascii="Times New Roman" w:hAnsi="Times New Roman"/>
          <w:sz w:val="20"/>
          <w:szCs w:val="20"/>
        </w:rPr>
      </w:pPr>
      <w:r w:rsidRPr="006C3326">
        <w:rPr>
          <w:rFonts w:ascii="Times New Roman" w:hAnsi="Times New Roman"/>
          <w:sz w:val="20"/>
          <w:szCs w:val="20"/>
          <w:lang w:val="en-GB"/>
        </w:rPr>
        <w:t xml:space="preserve">Opt.1: During and after RACH procedure until a new TCI state is indicated by the target cell, </w:t>
      </w:r>
      <w:r w:rsidRPr="006C3326">
        <w:rPr>
          <w:rFonts w:ascii="Times New Roman" w:hAnsi="Times New Roman"/>
          <w:sz w:val="20"/>
          <w:szCs w:val="20"/>
          <w:highlight w:val="yellow"/>
          <w:lang w:val="en-GB"/>
        </w:rPr>
        <w:t>a UE follows the indicated TCI-state in the cell switch command.</w:t>
      </w:r>
      <w:r w:rsidRPr="006C3326">
        <w:rPr>
          <w:rFonts w:ascii="Times New Roman" w:hAnsi="Times New Roman"/>
          <w:sz w:val="20"/>
          <w:szCs w:val="20"/>
          <w:lang w:val="en-GB"/>
        </w:rPr>
        <w:t> </w:t>
      </w:r>
    </w:p>
    <w:p w14:paraId="3B1E670E" w14:textId="77777777" w:rsidR="00FB6A10" w:rsidRPr="006C3326" w:rsidRDefault="00FB6A10" w:rsidP="00FB6A10">
      <w:pPr>
        <w:snapToGrid w:val="0"/>
        <w:contextualSpacing/>
        <w:rPr>
          <w:rFonts w:ascii="Times New Roman" w:hAnsi="Times New Roman"/>
          <w:sz w:val="20"/>
          <w:szCs w:val="20"/>
        </w:rPr>
      </w:pPr>
      <w:r w:rsidRPr="006C3326">
        <w:rPr>
          <w:rFonts w:ascii="Times New Roman" w:hAnsi="Times New Roman"/>
          <w:sz w:val="20"/>
          <w:szCs w:val="20"/>
        </w:rPr>
        <w:t>This option ensures continuity and can potentially result in a smoother handover process.</w:t>
      </w:r>
    </w:p>
    <w:p w14:paraId="18646AAA" w14:textId="77777777" w:rsidR="006C3326" w:rsidRPr="006C3326" w:rsidRDefault="006C3326" w:rsidP="00FB6A10">
      <w:pPr>
        <w:numPr>
          <w:ilvl w:val="0"/>
          <w:numId w:val="10"/>
        </w:numPr>
        <w:snapToGrid w:val="0"/>
        <w:contextualSpacing/>
        <w:rPr>
          <w:rFonts w:ascii="Times New Roman" w:hAnsi="Times New Roman"/>
          <w:sz w:val="20"/>
          <w:szCs w:val="20"/>
        </w:rPr>
      </w:pPr>
      <w:r w:rsidRPr="006C3326">
        <w:rPr>
          <w:rFonts w:ascii="Times New Roman" w:hAnsi="Times New Roman"/>
          <w:sz w:val="20"/>
          <w:szCs w:val="20"/>
          <w:lang w:val="en-GB"/>
        </w:rPr>
        <w:t xml:space="preserve">Opt.2: During and after RACH procedure until a new TCI state is indicated by the target cell, a </w:t>
      </w:r>
      <w:r w:rsidRPr="006C3326">
        <w:rPr>
          <w:rFonts w:ascii="Times New Roman" w:hAnsi="Times New Roman"/>
          <w:sz w:val="20"/>
          <w:szCs w:val="20"/>
          <w:highlight w:val="green"/>
          <w:lang w:val="en-GB"/>
        </w:rPr>
        <w:t>UE follows the SSB identified during a recent RACH procedure.</w:t>
      </w:r>
      <w:r w:rsidRPr="006C3326">
        <w:rPr>
          <w:rFonts w:ascii="Times New Roman" w:hAnsi="Times New Roman"/>
          <w:sz w:val="20"/>
          <w:szCs w:val="20"/>
          <w:lang w:val="en-GB"/>
        </w:rPr>
        <w:t> </w:t>
      </w:r>
    </w:p>
    <w:p w14:paraId="5F5CC8C8" w14:textId="691F28C7" w:rsidR="00FB6A10" w:rsidRPr="006C3326" w:rsidRDefault="00FB6A10" w:rsidP="00FB6A10">
      <w:pPr>
        <w:snapToGrid w:val="0"/>
        <w:contextualSpacing/>
        <w:rPr>
          <w:rFonts w:ascii="Times New Roman" w:hAnsi="Times New Roman"/>
          <w:sz w:val="20"/>
          <w:szCs w:val="20"/>
        </w:rPr>
      </w:pPr>
      <w:r w:rsidRPr="006C3326">
        <w:rPr>
          <w:rFonts w:ascii="Times New Roman" w:hAnsi="Times New Roman"/>
          <w:sz w:val="20"/>
          <w:szCs w:val="20"/>
        </w:rPr>
        <w:t xml:space="preserve">This might be more suitable in a dynamic environment where the SSB could provide a more accurate </w:t>
      </w:r>
      <w:r w:rsidR="00FB45C6">
        <w:rPr>
          <w:rFonts w:ascii="Times New Roman" w:hAnsi="Times New Roman"/>
          <w:sz w:val="20"/>
          <w:szCs w:val="20"/>
        </w:rPr>
        <w:t>beam</w:t>
      </w:r>
    </w:p>
    <w:p w14:paraId="70887BB2" w14:textId="6D57EA4C" w:rsidR="006C3326" w:rsidRPr="006C3326" w:rsidRDefault="006C3326" w:rsidP="002C1263">
      <w:pPr>
        <w:numPr>
          <w:ilvl w:val="0"/>
          <w:numId w:val="11"/>
        </w:numPr>
        <w:snapToGrid w:val="0"/>
        <w:contextualSpacing/>
        <w:rPr>
          <w:rFonts w:ascii="Times New Roman" w:hAnsi="Times New Roman"/>
          <w:sz w:val="20"/>
          <w:szCs w:val="20"/>
        </w:rPr>
      </w:pPr>
      <w:r w:rsidRPr="006C3326">
        <w:rPr>
          <w:rFonts w:ascii="Times New Roman" w:hAnsi="Times New Roman"/>
          <w:sz w:val="20"/>
          <w:szCs w:val="20"/>
          <w:lang w:val="en-GB"/>
        </w:rPr>
        <w:t xml:space="preserve">Opt.3: During RACH procedure, </w:t>
      </w:r>
      <w:r w:rsidRPr="006C3326">
        <w:rPr>
          <w:rFonts w:ascii="Times New Roman" w:hAnsi="Times New Roman"/>
          <w:sz w:val="20"/>
          <w:szCs w:val="20"/>
          <w:highlight w:val="green"/>
          <w:lang w:val="en-GB"/>
        </w:rPr>
        <w:t>a UE follows the SSB identified during a recent RACH procedure.</w:t>
      </w:r>
    </w:p>
    <w:p w14:paraId="3EFE5CEA" w14:textId="77777777" w:rsidR="006C3326" w:rsidRPr="006C3326" w:rsidRDefault="006C3326" w:rsidP="002C1263">
      <w:pPr>
        <w:snapToGrid w:val="0"/>
        <w:ind w:left="360"/>
        <w:contextualSpacing/>
        <w:rPr>
          <w:rFonts w:ascii="Times New Roman" w:hAnsi="Times New Roman"/>
          <w:sz w:val="20"/>
          <w:szCs w:val="20"/>
        </w:rPr>
      </w:pPr>
      <w:r w:rsidRPr="006C3326">
        <w:rPr>
          <w:rFonts w:ascii="Times New Roman" w:hAnsi="Times New Roman"/>
          <w:sz w:val="20"/>
          <w:szCs w:val="20"/>
          <w:lang w:val="en-GB"/>
        </w:rPr>
        <w:t>After RACH procedure until a new TCI state is indicated by the target cell, a UE follows the indicated TCI-state in the cell switch </w:t>
      </w:r>
      <w:r w:rsidRPr="006C3326">
        <w:rPr>
          <w:rFonts w:ascii="Times New Roman" w:hAnsi="Times New Roman"/>
          <w:sz w:val="20"/>
          <w:szCs w:val="20"/>
          <w:highlight w:val="yellow"/>
          <w:lang w:val="en-GB"/>
        </w:rPr>
        <w:t>command</w:t>
      </w:r>
    </w:p>
    <w:p w14:paraId="3F3F6396" w14:textId="77777777" w:rsidR="00FB6A10" w:rsidRPr="006C3326" w:rsidRDefault="00FB6A10" w:rsidP="00FB6A10">
      <w:pPr>
        <w:snapToGrid w:val="0"/>
        <w:contextualSpacing/>
        <w:rPr>
          <w:rFonts w:ascii="Times New Roman" w:hAnsi="Times New Roman"/>
          <w:sz w:val="20"/>
          <w:szCs w:val="20"/>
        </w:rPr>
      </w:pPr>
      <w:r w:rsidRPr="006C3326">
        <w:rPr>
          <w:rFonts w:ascii="Times New Roman" w:hAnsi="Times New Roman"/>
          <w:sz w:val="20"/>
          <w:szCs w:val="20"/>
        </w:rPr>
        <w:t>This provides a balance between the benefits of Opt.1 and Opt.2.</w:t>
      </w:r>
    </w:p>
    <w:p w14:paraId="7DDC3E84" w14:textId="77777777" w:rsidR="006C3326" w:rsidRPr="006C3326" w:rsidRDefault="006C3326" w:rsidP="002C1263">
      <w:pPr>
        <w:numPr>
          <w:ilvl w:val="0"/>
          <w:numId w:val="12"/>
        </w:numPr>
        <w:snapToGrid w:val="0"/>
        <w:contextualSpacing/>
        <w:rPr>
          <w:rFonts w:ascii="Times New Roman" w:hAnsi="Times New Roman"/>
          <w:sz w:val="20"/>
          <w:szCs w:val="20"/>
        </w:rPr>
      </w:pPr>
      <w:r w:rsidRPr="006C3326">
        <w:rPr>
          <w:rFonts w:ascii="Times New Roman" w:hAnsi="Times New Roman"/>
          <w:sz w:val="20"/>
          <w:szCs w:val="20"/>
          <w:lang w:val="en-GB"/>
        </w:rPr>
        <w:t xml:space="preserve">Opt.4: CFRA with Opt.1 and CBRA with Opt.2. </w:t>
      </w:r>
    </w:p>
    <w:p w14:paraId="055743AB" w14:textId="77777777" w:rsidR="00FB6A10" w:rsidRPr="006C3326" w:rsidRDefault="00FB6A10" w:rsidP="00FB6A10">
      <w:pPr>
        <w:snapToGrid w:val="0"/>
        <w:contextualSpacing/>
        <w:rPr>
          <w:rFonts w:ascii="Times New Roman" w:hAnsi="Times New Roman"/>
          <w:sz w:val="20"/>
          <w:szCs w:val="20"/>
        </w:rPr>
      </w:pPr>
      <w:r w:rsidRPr="006C3326">
        <w:rPr>
          <w:rFonts w:ascii="Times New Roman" w:hAnsi="Times New Roman"/>
          <w:sz w:val="20"/>
          <w:szCs w:val="20"/>
        </w:rPr>
        <w:t>This option suggests different approaches for CFRA and CBRA. Depending on the network configuration, this might provide a more tailored solution.</w:t>
      </w:r>
    </w:p>
    <w:p w14:paraId="1173900A" w14:textId="77492852" w:rsidR="006C3326" w:rsidRPr="006C3326" w:rsidRDefault="006C3326" w:rsidP="00F005C3">
      <w:pPr>
        <w:numPr>
          <w:ilvl w:val="0"/>
          <w:numId w:val="13"/>
        </w:numPr>
        <w:snapToGrid w:val="0"/>
        <w:contextualSpacing/>
        <w:rPr>
          <w:rFonts w:ascii="Times New Roman" w:hAnsi="Times New Roman"/>
          <w:sz w:val="20"/>
          <w:szCs w:val="20"/>
        </w:rPr>
      </w:pPr>
      <w:r w:rsidRPr="006C3326">
        <w:rPr>
          <w:rFonts w:ascii="Times New Roman" w:hAnsi="Times New Roman"/>
          <w:sz w:val="20"/>
          <w:szCs w:val="20"/>
          <w:lang w:val="en-GB"/>
        </w:rPr>
        <w:t xml:space="preserve">Opt.5: During RACH procedure, </w:t>
      </w:r>
      <w:r w:rsidRPr="006C3326">
        <w:rPr>
          <w:rFonts w:ascii="Times New Roman" w:hAnsi="Times New Roman"/>
          <w:sz w:val="20"/>
          <w:szCs w:val="20"/>
          <w:highlight w:val="cyan"/>
          <w:lang w:val="en-GB"/>
        </w:rPr>
        <w:t>a UE follows the SSB of the indicated TCI-state in the cell switch command.</w:t>
      </w:r>
      <w:r w:rsidRPr="006C3326">
        <w:rPr>
          <w:rFonts w:ascii="Times New Roman" w:hAnsi="Times New Roman"/>
          <w:sz w:val="20"/>
          <w:szCs w:val="20"/>
          <w:lang w:val="en-GB"/>
        </w:rPr>
        <w:t xml:space="preserve"> After RACH procedure until a new TCI state is indicated by the target cell, a UE follows the indicated TCI-state in the cell switch </w:t>
      </w:r>
      <w:r w:rsidRPr="006C3326">
        <w:rPr>
          <w:rFonts w:ascii="Times New Roman" w:hAnsi="Times New Roman"/>
          <w:sz w:val="20"/>
          <w:szCs w:val="20"/>
          <w:highlight w:val="yellow"/>
          <w:lang w:val="en-GB"/>
        </w:rPr>
        <w:t>command</w:t>
      </w:r>
    </w:p>
    <w:p w14:paraId="19697DA4" w14:textId="77777777" w:rsidR="00FB6A10" w:rsidRPr="006C3326" w:rsidRDefault="00FB6A10" w:rsidP="00FB6A10">
      <w:pPr>
        <w:snapToGrid w:val="0"/>
        <w:contextualSpacing/>
        <w:rPr>
          <w:rFonts w:ascii="Times New Roman" w:hAnsi="Times New Roman"/>
          <w:sz w:val="20"/>
          <w:szCs w:val="20"/>
        </w:rPr>
      </w:pPr>
      <w:r w:rsidRPr="006C3326">
        <w:rPr>
          <w:rFonts w:ascii="Times New Roman" w:hAnsi="Times New Roman"/>
          <w:sz w:val="20"/>
          <w:szCs w:val="20"/>
        </w:rPr>
        <w:t xml:space="preserve">This option is </w:t>
      </w:r>
      <w:proofErr w:type="gramStart"/>
      <w:r w:rsidRPr="006C3326">
        <w:rPr>
          <w:rFonts w:ascii="Times New Roman" w:hAnsi="Times New Roman"/>
          <w:sz w:val="20"/>
          <w:szCs w:val="20"/>
        </w:rPr>
        <w:t>similar to</w:t>
      </w:r>
      <w:proofErr w:type="gramEnd"/>
      <w:r w:rsidRPr="006C3326">
        <w:rPr>
          <w:rFonts w:ascii="Times New Roman" w:hAnsi="Times New Roman"/>
          <w:sz w:val="20"/>
          <w:szCs w:val="20"/>
        </w:rPr>
        <w:t xml:space="preserve"> Opt.1, but the UE also follows the SSB of the indicated TCI-state during the RACH procedure. This could provide a more accurate beam during the RACH procedure. </w:t>
      </w:r>
    </w:p>
    <w:p w14:paraId="32FBCC59" w14:textId="252A4AD9" w:rsidR="006C3326" w:rsidRPr="00D55201" w:rsidRDefault="006C3326" w:rsidP="000018A5">
      <w:pPr>
        <w:numPr>
          <w:ilvl w:val="0"/>
          <w:numId w:val="14"/>
        </w:numPr>
        <w:snapToGrid w:val="0"/>
        <w:contextualSpacing/>
        <w:rPr>
          <w:rFonts w:ascii="Times New Roman" w:hAnsi="Times New Roman"/>
          <w:sz w:val="20"/>
          <w:szCs w:val="20"/>
        </w:rPr>
      </w:pPr>
      <w:r w:rsidRPr="006C3326">
        <w:rPr>
          <w:rFonts w:ascii="Times New Roman" w:hAnsi="Times New Roman"/>
          <w:sz w:val="20"/>
          <w:szCs w:val="20"/>
          <w:lang w:val="en-GB"/>
        </w:rPr>
        <w:t xml:space="preserve">Opt.6: Channels associate with RACH </w:t>
      </w:r>
      <w:proofErr w:type="gramStart"/>
      <w:r w:rsidRPr="006C3326">
        <w:rPr>
          <w:rFonts w:ascii="Times New Roman" w:hAnsi="Times New Roman"/>
          <w:sz w:val="20"/>
          <w:szCs w:val="20"/>
        </w:rPr>
        <w:t>procedure</w:t>
      </w:r>
      <w:r w:rsidRPr="006C3326">
        <w:rPr>
          <w:rFonts w:ascii="Times New Roman" w:hAnsi="Times New Roman"/>
          <w:sz w:val="20"/>
          <w:szCs w:val="20"/>
          <w:lang w:val="en-GB"/>
        </w:rPr>
        <w:t>,</w:t>
      </w:r>
      <w:proofErr w:type="gramEnd"/>
      <w:r w:rsidRPr="006C3326">
        <w:rPr>
          <w:rFonts w:ascii="Times New Roman" w:hAnsi="Times New Roman"/>
          <w:sz w:val="20"/>
          <w:szCs w:val="20"/>
          <w:lang w:val="en-GB"/>
        </w:rPr>
        <w:t xml:space="preserve"> </w:t>
      </w:r>
      <w:r w:rsidRPr="006C3326">
        <w:rPr>
          <w:rFonts w:ascii="Times New Roman" w:hAnsi="Times New Roman"/>
          <w:sz w:val="20"/>
          <w:szCs w:val="20"/>
          <w:highlight w:val="green"/>
          <w:lang w:val="en-GB"/>
        </w:rPr>
        <w:t>a UE follows the SSB identified during a recent RACH procedure.</w:t>
      </w:r>
      <w:r w:rsidR="000018A5">
        <w:rPr>
          <w:rFonts w:ascii="Times New Roman" w:hAnsi="Times New Roman" w:hint="eastAsia"/>
          <w:sz w:val="20"/>
          <w:szCs w:val="20"/>
        </w:rPr>
        <w:t xml:space="preserve"> </w:t>
      </w:r>
      <w:r w:rsidRPr="006C3326">
        <w:rPr>
          <w:rFonts w:ascii="Times New Roman" w:hAnsi="Times New Roman"/>
          <w:sz w:val="20"/>
          <w:szCs w:val="20"/>
          <w:lang w:val="en-GB"/>
        </w:rPr>
        <w:t>Channel following indicated TCI states until a new TCI state is indicated by the target cell, a UE follows the indicated TCI-state in the cell switch </w:t>
      </w:r>
      <w:r w:rsidRPr="006C3326">
        <w:rPr>
          <w:rFonts w:ascii="Times New Roman" w:hAnsi="Times New Roman"/>
          <w:sz w:val="20"/>
          <w:szCs w:val="20"/>
          <w:highlight w:val="yellow"/>
          <w:lang w:val="en-GB"/>
        </w:rPr>
        <w:t>command</w:t>
      </w:r>
    </w:p>
    <w:p w14:paraId="2414C054" w14:textId="77777777" w:rsidR="006C3326" w:rsidRPr="006C3326" w:rsidRDefault="006C3326" w:rsidP="00D55201">
      <w:pPr>
        <w:snapToGrid w:val="0"/>
        <w:ind w:left="360"/>
        <w:contextualSpacing/>
        <w:rPr>
          <w:rFonts w:ascii="Times New Roman" w:hAnsi="Times New Roman"/>
          <w:sz w:val="20"/>
          <w:szCs w:val="20"/>
        </w:rPr>
      </w:pPr>
    </w:p>
    <w:p w14:paraId="38587944" w14:textId="27DEFCF1" w:rsidR="00C46387" w:rsidRPr="003A3524" w:rsidRDefault="003A3524" w:rsidP="00C46387">
      <w:pPr>
        <w:snapToGrid w:val="0"/>
        <w:contextualSpacing/>
        <w:rPr>
          <w:rFonts w:ascii="Times New Roman" w:hAnsi="Times New Roman"/>
          <w:sz w:val="20"/>
          <w:szCs w:val="20"/>
        </w:rPr>
      </w:pPr>
      <w:r w:rsidRPr="003A3524">
        <w:rPr>
          <w:rFonts w:ascii="Times New Roman" w:hAnsi="Times New Roman"/>
          <w:sz w:val="20"/>
          <w:szCs w:val="20"/>
        </w:rPr>
        <w:t xml:space="preserve">To summarize, Opt. 5 is the most appropriate choice </w:t>
      </w:r>
      <w:r w:rsidR="002F37B4">
        <w:rPr>
          <w:rFonts w:ascii="Times New Roman" w:hAnsi="Times New Roman"/>
          <w:sz w:val="20"/>
          <w:szCs w:val="20"/>
        </w:rPr>
        <w:t xml:space="preserve">since for CBRA </w:t>
      </w:r>
      <w:r w:rsidR="002F37B4" w:rsidRPr="003F48F4">
        <w:rPr>
          <w:rFonts w:ascii="Times New Roman" w:hAnsi="Times New Roman"/>
          <w:sz w:val="20"/>
          <w:szCs w:val="20"/>
        </w:rPr>
        <w:t>RACH-based LTM, UE may select a SSB different from that associated with the indicated TCI based on the legacy RACH procedure.</w:t>
      </w:r>
      <w:r w:rsidRPr="003A3524">
        <w:rPr>
          <w:rFonts w:ascii="Times New Roman" w:hAnsi="Times New Roman"/>
          <w:sz w:val="20"/>
          <w:szCs w:val="20"/>
        </w:rPr>
        <w:t xml:space="preserve"> </w:t>
      </w:r>
      <w:r w:rsidR="003A7E96">
        <w:rPr>
          <w:rFonts w:ascii="Times New Roman" w:hAnsi="Times New Roman"/>
          <w:sz w:val="20"/>
          <w:szCs w:val="20"/>
        </w:rPr>
        <w:t>I</w:t>
      </w:r>
      <w:r w:rsidRPr="003A3524">
        <w:rPr>
          <w:rFonts w:ascii="Times New Roman" w:hAnsi="Times New Roman"/>
          <w:sz w:val="20"/>
          <w:szCs w:val="20"/>
        </w:rPr>
        <w:t>t ensures alignment between the selected SSB for the RACH procedure and the SSB associated with the indicated TCI. This alignment is crucial because the SSB for RACH should be consistent with the SSB chosen based on the most recent L1 report, making it the preferred option.</w:t>
      </w:r>
    </w:p>
    <w:p w14:paraId="31A9F371" w14:textId="77777777" w:rsidR="00D55201" w:rsidRDefault="00D55201" w:rsidP="00C46387">
      <w:pPr>
        <w:snapToGrid w:val="0"/>
        <w:contextualSpacing/>
        <w:rPr>
          <w:rFonts w:ascii="Times New Roman" w:hAnsi="Times New Roman"/>
          <w:b/>
          <w:bCs/>
          <w:sz w:val="20"/>
          <w:szCs w:val="20"/>
        </w:rPr>
      </w:pPr>
    </w:p>
    <w:p w14:paraId="76E74374" w14:textId="70C74A28" w:rsidR="00576896" w:rsidRPr="006C3326" w:rsidRDefault="00576896" w:rsidP="00C46387">
      <w:pPr>
        <w:snapToGrid w:val="0"/>
        <w:contextualSpacing/>
        <w:rPr>
          <w:rFonts w:ascii="Times New Roman" w:hAnsi="Times New Roman"/>
          <w:b/>
          <w:bCs/>
          <w:sz w:val="20"/>
          <w:szCs w:val="20"/>
        </w:rPr>
      </w:pPr>
      <w:bookmarkStart w:id="0" w:name="p1"/>
      <w:r w:rsidRPr="00C46387">
        <w:rPr>
          <w:rFonts w:ascii="Times New Roman" w:hAnsi="Times New Roman" w:hint="eastAsia"/>
          <w:b/>
          <w:bCs/>
          <w:sz w:val="20"/>
          <w:szCs w:val="20"/>
        </w:rPr>
        <w:t>P</w:t>
      </w:r>
      <w:r w:rsidRPr="00C46387">
        <w:rPr>
          <w:rFonts w:ascii="Times New Roman" w:hAnsi="Times New Roman"/>
          <w:b/>
          <w:bCs/>
          <w:sz w:val="20"/>
          <w:szCs w:val="20"/>
        </w:rPr>
        <w:t>roposal</w:t>
      </w:r>
      <w:r w:rsidR="00537749">
        <w:rPr>
          <w:rFonts w:ascii="Times New Roman" w:hAnsi="Times New Roman"/>
          <w:b/>
          <w:bCs/>
          <w:sz w:val="20"/>
          <w:szCs w:val="20"/>
        </w:rPr>
        <w:t xml:space="preserve"> </w:t>
      </w:r>
      <w:r w:rsidRPr="00C46387">
        <w:rPr>
          <w:rFonts w:ascii="Times New Roman" w:hAnsi="Times New Roman"/>
          <w:b/>
          <w:bCs/>
          <w:sz w:val="20"/>
          <w:szCs w:val="20"/>
        </w:rPr>
        <w:t>1: Support Opt.5</w:t>
      </w:r>
      <w:r w:rsidR="008564E0" w:rsidRPr="00C46387">
        <w:rPr>
          <w:rFonts w:ascii="Times New Roman" w:hAnsi="Times New Roman"/>
          <w:b/>
          <w:bCs/>
          <w:sz w:val="20"/>
          <w:szCs w:val="20"/>
        </w:rPr>
        <w:t xml:space="preserve"> </w:t>
      </w:r>
    </w:p>
    <w:p w14:paraId="6439F842" w14:textId="77777777" w:rsidR="006C3326" w:rsidRPr="006C3326" w:rsidRDefault="006C3326" w:rsidP="00C46387">
      <w:pPr>
        <w:numPr>
          <w:ilvl w:val="0"/>
          <w:numId w:val="13"/>
        </w:numPr>
        <w:snapToGrid w:val="0"/>
        <w:contextualSpacing/>
        <w:rPr>
          <w:rFonts w:ascii="Times New Roman" w:hAnsi="Times New Roman"/>
          <w:b/>
          <w:bCs/>
          <w:sz w:val="20"/>
          <w:szCs w:val="20"/>
        </w:rPr>
      </w:pPr>
      <w:r w:rsidRPr="006C3326">
        <w:rPr>
          <w:rFonts w:ascii="Times New Roman" w:hAnsi="Times New Roman"/>
          <w:b/>
          <w:bCs/>
          <w:sz w:val="20"/>
          <w:szCs w:val="20"/>
          <w:lang w:val="en-GB"/>
        </w:rPr>
        <w:lastRenderedPageBreak/>
        <w:t xml:space="preserve">Opt.5: During RACH procedure, </w:t>
      </w:r>
      <w:r w:rsidRPr="006C3326">
        <w:rPr>
          <w:rFonts w:ascii="Times New Roman" w:hAnsi="Times New Roman"/>
          <w:b/>
          <w:bCs/>
          <w:sz w:val="20"/>
          <w:szCs w:val="20"/>
          <w:highlight w:val="cyan"/>
          <w:lang w:val="en-GB"/>
        </w:rPr>
        <w:t>a UE follows the SSB of the indicated TCI-state in the cell switch command.</w:t>
      </w:r>
      <w:r w:rsidRPr="006C3326">
        <w:rPr>
          <w:rFonts w:ascii="Times New Roman" w:hAnsi="Times New Roman"/>
          <w:b/>
          <w:bCs/>
          <w:sz w:val="20"/>
          <w:szCs w:val="20"/>
          <w:lang w:val="en-GB"/>
        </w:rPr>
        <w:t xml:space="preserve"> After RACH procedure until a new TCI state is indicated by the target cell, a UE follows the indicated TCI-state in the cell switch </w:t>
      </w:r>
      <w:r w:rsidRPr="006C3326">
        <w:rPr>
          <w:rFonts w:ascii="Times New Roman" w:hAnsi="Times New Roman"/>
          <w:b/>
          <w:bCs/>
          <w:sz w:val="20"/>
          <w:szCs w:val="20"/>
          <w:highlight w:val="yellow"/>
          <w:lang w:val="en-GB"/>
        </w:rPr>
        <w:t>command</w:t>
      </w:r>
    </w:p>
    <w:bookmarkEnd w:id="0"/>
    <w:p w14:paraId="722FD6A9" w14:textId="026F4B15" w:rsidR="0008461A" w:rsidRPr="0004321E" w:rsidRDefault="0008461A" w:rsidP="00CE1679">
      <w:pPr>
        <w:snapToGrid w:val="0"/>
        <w:jc w:val="left"/>
        <w:rPr>
          <w:rFonts w:ascii="Times New Roman" w:hAnsi="Times New Roman"/>
          <w:sz w:val="20"/>
          <w:szCs w:val="20"/>
        </w:rPr>
      </w:pPr>
    </w:p>
    <w:p w14:paraId="36FDFBF0" w14:textId="0620EFA2" w:rsidR="00B57450" w:rsidRPr="0004321E" w:rsidRDefault="007B52A6" w:rsidP="00F27510">
      <w:pPr>
        <w:pStyle w:val="2"/>
        <w:snapToGrid w:val="0"/>
        <w:spacing w:after="240"/>
        <w:rPr>
          <w:rFonts w:eastAsia="DengXian"/>
          <w:sz w:val="20"/>
          <w:szCs w:val="20"/>
          <w:lang w:eastAsia="zh-CN"/>
        </w:rPr>
      </w:pPr>
      <w:r w:rsidRPr="0004321E">
        <w:rPr>
          <w:rFonts w:hint="eastAsia"/>
          <w:sz w:val="20"/>
          <w:szCs w:val="20"/>
          <w:lang w:eastAsia="zh-CN"/>
        </w:rPr>
        <w:t>Preparation for LTM: Details on DL synchronization to candidate cells</w:t>
      </w:r>
    </w:p>
    <w:p w14:paraId="08E9B0BF" w14:textId="77777777" w:rsidR="00EB29F1" w:rsidRPr="00EB29F1" w:rsidRDefault="00EB29F1" w:rsidP="00EB29F1">
      <w:pPr>
        <w:snapToGrid w:val="0"/>
        <w:rPr>
          <w:rFonts w:ascii="Times New Roman" w:hAnsi="Times New Roman"/>
          <w:sz w:val="20"/>
          <w:szCs w:val="20"/>
        </w:rPr>
      </w:pPr>
      <w:r w:rsidRPr="00EB29F1">
        <w:rPr>
          <w:rFonts w:ascii="Times New Roman" w:hAnsi="Times New Roman"/>
          <w:sz w:val="20"/>
          <w:szCs w:val="20"/>
        </w:rPr>
        <w:t>TCI state activation should be managed separately by the UE for Release-18 LTM and legacy beam management. The advantage of this approach is it allows for more granular control and can optimize performance for both LTM and legacy beam management. However, it could increase the complexity of the UE's operations.</w:t>
      </w:r>
    </w:p>
    <w:p w14:paraId="082E4A5C" w14:textId="439BF9FB" w:rsidR="00EB29F1" w:rsidRPr="00EB29F1" w:rsidRDefault="00EB29F1" w:rsidP="00EB29F1">
      <w:pPr>
        <w:snapToGrid w:val="0"/>
        <w:rPr>
          <w:rFonts w:ascii="Times New Roman" w:hAnsi="Times New Roman"/>
          <w:sz w:val="20"/>
          <w:szCs w:val="20"/>
        </w:rPr>
      </w:pPr>
      <w:r w:rsidRPr="00EB29F1">
        <w:rPr>
          <w:rFonts w:ascii="Times New Roman" w:hAnsi="Times New Roman"/>
          <w:sz w:val="20"/>
          <w:szCs w:val="20"/>
        </w:rPr>
        <w:t xml:space="preserve">Activating an LTM TCI state should not deactivate the activated TCI states for legacy beam management, and vice versa. This approach can ensure that there are no disruptions in either LTM </w:t>
      </w:r>
      <w:r w:rsidR="00AD6CDC" w:rsidRPr="00EB29F1">
        <w:rPr>
          <w:rFonts w:ascii="Times New Roman" w:hAnsi="Times New Roman"/>
          <w:sz w:val="20"/>
          <w:szCs w:val="20"/>
        </w:rPr>
        <w:t>or</w:t>
      </w:r>
      <w:r w:rsidRPr="00EB29F1">
        <w:rPr>
          <w:rFonts w:ascii="Times New Roman" w:hAnsi="Times New Roman"/>
          <w:sz w:val="20"/>
          <w:szCs w:val="20"/>
        </w:rPr>
        <w:t xml:space="preserve"> legacy beam management when a new TCI state is activated. However, it may increase the resource usage as more TCI states would need to be maintained simultaneously.</w:t>
      </w:r>
    </w:p>
    <w:p w14:paraId="72E75D06" w14:textId="77777777" w:rsidR="00EB29F1" w:rsidRDefault="00EB29F1" w:rsidP="00EB29F1">
      <w:pPr>
        <w:snapToGrid w:val="0"/>
        <w:rPr>
          <w:rFonts w:ascii="Times New Roman" w:hAnsi="Times New Roman"/>
          <w:sz w:val="20"/>
          <w:szCs w:val="20"/>
        </w:rPr>
      </w:pPr>
      <w:r w:rsidRPr="00EB29F1">
        <w:rPr>
          <w:rFonts w:ascii="Times New Roman" w:hAnsi="Times New Roman"/>
          <w:sz w:val="20"/>
          <w:szCs w:val="20"/>
        </w:rPr>
        <w:t>Defining a separate MAC CE to activate the TCI state for Release-18 LTM and legacy beam management can provide a clear distinction between the control elements for LTM and legacy beam management. It could simplify the management of TCI states but may also require more resources to implement separate control elements.</w:t>
      </w:r>
    </w:p>
    <w:p w14:paraId="63F5AC8F" w14:textId="77777777" w:rsidR="009D31CC" w:rsidRPr="00EB29F1" w:rsidRDefault="009D31CC" w:rsidP="00EB29F1">
      <w:pPr>
        <w:snapToGrid w:val="0"/>
        <w:rPr>
          <w:rFonts w:ascii="Times New Roman" w:hAnsi="Times New Roman"/>
          <w:sz w:val="20"/>
          <w:szCs w:val="20"/>
        </w:rPr>
      </w:pPr>
    </w:p>
    <w:p w14:paraId="30E89276" w14:textId="77777777" w:rsidR="00EB29F1" w:rsidRPr="00EB29F1" w:rsidRDefault="00EB29F1" w:rsidP="00EB29F1">
      <w:pPr>
        <w:snapToGrid w:val="0"/>
        <w:rPr>
          <w:rFonts w:ascii="Times New Roman" w:hAnsi="Times New Roman"/>
          <w:sz w:val="20"/>
          <w:szCs w:val="20"/>
        </w:rPr>
      </w:pPr>
      <w:bookmarkStart w:id="1" w:name="p2"/>
      <w:r w:rsidRPr="00EB29F1">
        <w:rPr>
          <w:rFonts w:ascii="Times New Roman" w:hAnsi="Times New Roman"/>
          <w:b/>
          <w:bCs/>
          <w:sz w:val="20"/>
          <w:szCs w:val="20"/>
        </w:rPr>
        <w:t xml:space="preserve">Proposal 2: </w:t>
      </w:r>
      <w:r w:rsidRPr="00EB29F1">
        <w:rPr>
          <w:rFonts w:ascii="Times New Roman" w:hAnsi="Times New Roman"/>
          <w:b/>
          <w:bCs/>
          <w:sz w:val="20"/>
          <w:szCs w:val="20"/>
          <w:lang w:val="en-GB"/>
        </w:rPr>
        <w:t>TCI state activation is separately managed by the UE for Rel-18 LTM and beam management</w:t>
      </w:r>
    </w:p>
    <w:p w14:paraId="65478644" w14:textId="36D20DF9" w:rsidR="00EB29F1" w:rsidRPr="00EB29F1" w:rsidRDefault="00EB29F1" w:rsidP="00EB29F1">
      <w:pPr>
        <w:snapToGrid w:val="0"/>
        <w:rPr>
          <w:rFonts w:ascii="Times New Roman" w:hAnsi="Times New Roman"/>
          <w:sz w:val="20"/>
          <w:szCs w:val="20"/>
        </w:rPr>
      </w:pPr>
      <w:bookmarkStart w:id="2" w:name="p3"/>
      <w:bookmarkEnd w:id="1"/>
      <w:r w:rsidRPr="00EB29F1">
        <w:rPr>
          <w:rFonts w:ascii="Times New Roman" w:hAnsi="Times New Roman"/>
          <w:b/>
          <w:bCs/>
          <w:sz w:val="20"/>
          <w:szCs w:val="20"/>
        </w:rPr>
        <w:t xml:space="preserve">Proposal </w:t>
      </w:r>
      <w:r w:rsidR="00C66ECA" w:rsidRPr="00EB29F1">
        <w:rPr>
          <w:rFonts w:ascii="Times New Roman" w:hAnsi="Times New Roman"/>
          <w:b/>
          <w:bCs/>
          <w:sz w:val="20"/>
          <w:szCs w:val="20"/>
        </w:rPr>
        <w:t>3: LTM</w:t>
      </w:r>
      <w:r w:rsidRPr="00EB29F1">
        <w:rPr>
          <w:rFonts w:ascii="Times New Roman" w:hAnsi="Times New Roman"/>
          <w:b/>
          <w:bCs/>
          <w:sz w:val="20"/>
          <w:szCs w:val="20"/>
          <w:lang w:val="en-GB"/>
        </w:rPr>
        <w:t xml:space="preserve"> TCI state activation does not deactivate the activated TCI states for legacy BM, and vice versa</w:t>
      </w:r>
    </w:p>
    <w:p w14:paraId="03F6D0E6" w14:textId="0800F5AC" w:rsidR="00EB29F1" w:rsidRPr="00EB29F1" w:rsidRDefault="00EB29F1" w:rsidP="00EB29F1">
      <w:pPr>
        <w:snapToGrid w:val="0"/>
        <w:rPr>
          <w:rFonts w:ascii="Times New Roman" w:hAnsi="Times New Roman"/>
          <w:sz w:val="20"/>
          <w:szCs w:val="20"/>
        </w:rPr>
      </w:pPr>
      <w:bookmarkStart w:id="3" w:name="p4"/>
      <w:bookmarkEnd w:id="2"/>
      <w:r w:rsidRPr="00EB29F1">
        <w:rPr>
          <w:rFonts w:ascii="Times New Roman" w:hAnsi="Times New Roman"/>
          <w:b/>
          <w:bCs/>
          <w:sz w:val="20"/>
          <w:szCs w:val="20"/>
        </w:rPr>
        <w:t xml:space="preserve">Proposal </w:t>
      </w:r>
      <w:r w:rsidR="00C66ECA" w:rsidRPr="00EB29F1">
        <w:rPr>
          <w:rFonts w:ascii="Times New Roman" w:hAnsi="Times New Roman"/>
          <w:b/>
          <w:bCs/>
          <w:sz w:val="20"/>
          <w:szCs w:val="20"/>
        </w:rPr>
        <w:t>4: MAC</w:t>
      </w:r>
      <w:r w:rsidRPr="00EB29F1">
        <w:rPr>
          <w:rFonts w:ascii="Times New Roman" w:hAnsi="Times New Roman"/>
          <w:b/>
          <w:bCs/>
          <w:sz w:val="20"/>
          <w:szCs w:val="20"/>
          <w:lang w:val="en-GB"/>
        </w:rPr>
        <w:t xml:space="preserve"> CE to activate TCI state is separately defined for Rel-18 LTM and legacy BM</w:t>
      </w:r>
    </w:p>
    <w:bookmarkEnd w:id="3"/>
    <w:p w14:paraId="7F133C6D" w14:textId="77777777" w:rsidR="00EB29F1" w:rsidRPr="00EB29F1" w:rsidRDefault="00EB29F1" w:rsidP="00CE1679">
      <w:pPr>
        <w:snapToGrid w:val="0"/>
        <w:rPr>
          <w:rFonts w:ascii="Times New Roman" w:hAnsi="Times New Roman"/>
          <w:sz w:val="20"/>
          <w:szCs w:val="20"/>
        </w:rPr>
      </w:pPr>
    </w:p>
    <w:p w14:paraId="35F25852" w14:textId="426D8850" w:rsidR="004C131C" w:rsidRPr="0004321E" w:rsidRDefault="004C131C" w:rsidP="00CE1679">
      <w:pPr>
        <w:snapToGrid w:val="0"/>
        <w:rPr>
          <w:rFonts w:ascii="Times New Roman" w:hAnsi="Times New Roman"/>
          <w:sz w:val="20"/>
          <w:szCs w:val="20"/>
        </w:rPr>
      </w:pPr>
      <w:r w:rsidRPr="0004321E">
        <w:rPr>
          <w:rFonts w:ascii="Times New Roman" w:hAnsi="Times New Roman"/>
          <w:sz w:val="20"/>
          <w:szCs w:val="20"/>
        </w:rPr>
        <w:t>FL proposed</w:t>
      </w:r>
      <w:r w:rsidR="0061342F" w:rsidRPr="0004321E">
        <w:rPr>
          <w:rFonts w:ascii="Times New Roman" w:hAnsi="Times New Roman"/>
          <w:sz w:val="20"/>
          <w:szCs w:val="20"/>
        </w:rPr>
        <w:t xml:space="preserve"> </w:t>
      </w:r>
      <w:r w:rsidR="008F582D" w:rsidRPr="0004321E">
        <w:rPr>
          <w:rFonts w:ascii="Times New Roman" w:hAnsi="Times New Roman"/>
          <w:sz w:val="20"/>
          <w:szCs w:val="20"/>
        </w:rPr>
        <w:t>below [</w:t>
      </w:r>
      <w:r w:rsidR="00F92283">
        <w:rPr>
          <w:rFonts w:ascii="Times New Roman" w:hAnsi="Times New Roman"/>
          <w:sz w:val="20"/>
          <w:szCs w:val="20"/>
        </w:rPr>
        <w:t>2</w:t>
      </w:r>
      <w:r w:rsidRPr="0004321E">
        <w:rPr>
          <w:rFonts w:ascii="Times New Roman" w:hAnsi="Times New Roman"/>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4C131C" w:rsidRPr="0004321E" w14:paraId="1770A861" w14:textId="77777777" w:rsidTr="008A643B">
        <w:tc>
          <w:tcPr>
            <w:tcW w:w="9736" w:type="dxa"/>
            <w:tcBorders>
              <w:top w:val="single" w:sz="4" w:space="0" w:color="auto"/>
              <w:left w:val="single" w:sz="4" w:space="0" w:color="auto"/>
              <w:bottom w:val="single" w:sz="4" w:space="0" w:color="auto"/>
              <w:right w:val="single" w:sz="4" w:space="0" w:color="auto"/>
            </w:tcBorders>
            <w:hideMark/>
          </w:tcPr>
          <w:p w14:paraId="3244E259" w14:textId="77777777" w:rsidR="00DE3456" w:rsidRPr="00F92283" w:rsidRDefault="00DE3456" w:rsidP="00DE3456">
            <w:pPr>
              <w:rPr>
                <w:rFonts w:ascii="Times New Roman" w:hAnsi="Times New Roman"/>
                <w:sz w:val="20"/>
                <w:szCs w:val="20"/>
              </w:rPr>
            </w:pPr>
            <w:r w:rsidRPr="00F92283">
              <w:rPr>
                <w:rFonts w:ascii="Times New Roman" w:hAnsi="Times New Roman"/>
                <w:b/>
                <w:bCs/>
                <w:sz w:val="20"/>
                <w:szCs w:val="20"/>
              </w:rPr>
              <w:t xml:space="preserve">For FL Proposal 5-5-1b-v2, </w:t>
            </w:r>
            <w:r w:rsidRPr="00F92283">
              <w:rPr>
                <w:rFonts w:ascii="Times New Roman" w:hAnsi="Times New Roman"/>
                <w:sz w:val="20"/>
                <w:szCs w:val="20"/>
              </w:rPr>
              <w:t xml:space="preserve">the following proposal was not concluded due to the lack of time. The conclusion of FL Proposal 5-4-1c-v4 needs to be considered for our final down selection. </w:t>
            </w:r>
          </w:p>
          <w:p w14:paraId="17AC4B5F" w14:textId="77777777" w:rsidR="00DE3456" w:rsidRPr="00F92283" w:rsidRDefault="00DE3456" w:rsidP="00DE3456">
            <w:pPr>
              <w:tabs>
                <w:tab w:val="left" w:pos="720"/>
                <w:tab w:val="left" w:pos="1440"/>
              </w:tabs>
              <w:rPr>
                <w:rFonts w:ascii="Times New Roman" w:hAnsi="Times New Roman"/>
                <w:sz w:val="20"/>
                <w:szCs w:val="20"/>
              </w:rPr>
            </w:pPr>
            <w:r w:rsidRPr="00F92283">
              <w:rPr>
                <w:rFonts w:ascii="Times New Roman" w:hAnsi="Times New Roman"/>
                <w:sz w:val="20"/>
                <w:szCs w:val="20"/>
              </w:rPr>
              <w:t xml:space="preserve">After cell switch, for the activated LTM TCI states, </w:t>
            </w:r>
          </w:p>
          <w:p w14:paraId="47D44996" w14:textId="77777777" w:rsidR="00DE3456" w:rsidRPr="00F92283" w:rsidRDefault="00DE3456" w:rsidP="00DE3456">
            <w:pPr>
              <w:pStyle w:val="a7"/>
              <w:numPr>
                <w:ilvl w:val="0"/>
                <w:numId w:val="18"/>
              </w:numPr>
              <w:tabs>
                <w:tab w:val="left" w:pos="1440"/>
              </w:tabs>
              <w:snapToGrid w:val="0"/>
              <w:spacing w:after="100" w:afterAutospacing="1"/>
              <w:ind w:leftChars="0"/>
              <w:rPr>
                <w:rFonts w:ascii="Times New Roman" w:hAnsi="Times New Roman"/>
                <w:sz w:val="20"/>
                <w:szCs w:val="20"/>
              </w:rPr>
            </w:pPr>
            <w:r w:rsidRPr="00F92283">
              <w:rPr>
                <w:rFonts w:ascii="Times New Roman" w:hAnsi="Times New Roman"/>
                <w:sz w:val="20"/>
                <w:szCs w:val="20"/>
              </w:rPr>
              <w:t>Option 1: UE retains the activated LTM TCI states only for the target cell</w:t>
            </w:r>
          </w:p>
          <w:p w14:paraId="2B620686" w14:textId="77777777" w:rsidR="00DE3456" w:rsidRPr="00F92283" w:rsidRDefault="00DE3456" w:rsidP="00DE3456">
            <w:pPr>
              <w:pStyle w:val="a7"/>
              <w:numPr>
                <w:ilvl w:val="0"/>
                <w:numId w:val="18"/>
              </w:numPr>
              <w:tabs>
                <w:tab w:val="left" w:pos="1440"/>
              </w:tabs>
              <w:snapToGrid w:val="0"/>
              <w:spacing w:after="100" w:afterAutospacing="1"/>
              <w:ind w:leftChars="0"/>
              <w:rPr>
                <w:rFonts w:ascii="Times New Roman" w:hAnsi="Times New Roman"/>
                <w:strike/>
                <w:sz w:val="20"/>
                <w:szCs w:val="20"/>
              </w:rPr>
            </w:pPr>
            <w:r w:rsidRPr="00F92283">
              <w:rPr>
                <w:rFonts w:ascii="Times New Roman" w:hAnsi="Times New Roman"/>
                <w:strike/>
                <w:sz w:val="20"/>
                <w:szCs w:val="20"/>
              </w:rPr>
              <w:t>Option 2: UE retains the activated LTM TCI states for all candidate cells other than target cell</w:t>
            </w:r>
          </w:p>
          <w:p w14:paraId="6AA11E3D" w14:textId="77777777" w:rsidR="00DE3456" w:rsidRPr="00F92283" w:rsidRDefault="00DE3456" w:rsidP="00DE3456">
            <w:pPr>
              <w:pStyle w:val="a7"/>
              <w:numPr>
                <w:ilvl w:val="1"/>
                <w:numId w:val="18"/>
              </w:numPr>
              <w:tabs>
                <w:tab w:val="left" w:pos="720"/>
              </w:tabs>
              <w:snapToGrid w:val="0"/>
              <w:spacing w:after="100" w:afterAutospacing="1"/>
              <w:ind w:leftChars="0"/>
              <w:rPr>
                <w:rFonts w:ascii="Times New Roman" w:hAnsi="Times New Roman"/>
                <w:strike/>
                <w:sz w:val="20"/>
                <w:szCs w:val="20"/>
              </w:rPr>
            </w:pPr>
            <w:r w:rsidRPr="00F92283">
              <w:rPr>
                <w:rFonts w:ascii="Times New Roman" w:hAnsi="Times New Roman"/>
                <w:strike/>
                <w:sz w:val="20"/>
                <w:szCs w:val="20"/>
              </w:rPr>
              <w:t xml:space="preserve">Support: </w:t>
            </w:r>
          </w:p>
          <w:p w14:paraId="42120904" w14:textId="77777777" w:rsidR="00DE3456" w:rsidRPr="00F92283" w:rsidRDefault="00DE3456" w:rsidP="00DE3456">
            <w:pPr>
              <w:pStyle w:val="a7"/>
              <w:numPr>
                <w:ilvl w:val="0"/>
                <w:numId w:val="18"/>
              </w:numPr>
              <w:tabs>
                <w:tab w:val="left" w:pos="1440"/>
              </w:tabs>
              <w:snapToGrid w:val="0"/>
              <w:spacing w:after="100" w:afterAutospacing="1"/>
              <w:ind w:leftChars="0"/>
              <w:rPr>
                <w:rFonts w:ascii="Times New Roman" w:hAnsi="Times New Roman"/>
                <w:sz w:val="20"/>
                <w:szCs w:val="20"/>
              </w:rPr>
            </w:pPr>
            <w:r w:rsidRPr="00F92283">
              <w:rPr>
                <w:rFonts w:ascii="Times New Roman" w:hAnsi="Times New Roman"/>
                <w:sz w:val="20"/>
                <w:szCs w:val="20"/>
              </w:rPr>
              <w:t>Option 3: UE retains the activated LTM TCI states for all candidate cells (may need RRC configuration / MAC CE to deactivate– FFS condition)</w:t>
            </w:r>
          </w:p>
          <w:p w14:paraId="63E973C4" w14:textId="77777777" w:rsidR="00DE3456" w:rsidRPr="00F92283" w:rsidRDefault="00DE3456" w:rsidP="00DE3456">
            <w:pPr>
              <w:pStyle w:val="a7"/>
              <w:numPr>
                <w:ilvl w:val="0"/>
                <w:numId w:val="18"/>
              </w:numPr>
              <w:tabs>
                <w:tab w:val="left" w:pos="1440"/>
              </w:tabs>
              <w:snapToGrid w:val="0"/>
              <w:spacing w:after="100" w:afterAutospacing="1"/>
              <w:ind w:leftChars="0"/>
              <w:rPr>
                <w:rFonts w:ascii="Times New Roman" w:hAnsi="Times New Roman"/>
                <w:sz w:val="20"/>
                <w:szCs w:val="20"/>
              </w:rPr>
            </w:pPr>
            <w:r w:rsidRPr="00F92283">
              <w:rPr>
                <w:rFonts w:ascii="Times New Roman" w:hAnsi="Times New Roman"/>
                <w:sz w:val="20"/>
                <w:szCs w:val="20"/>
              </w:rPr>
              <w:t>Option 4: UE deactivates all activated LTM TCI states other than indicated TCI state</w:t>
            </w:r>
          </w:p>
          <w:p w14:paraId="089356AC" w14:textId="13FBAD21" w:rsidR="004C131C" w:rsidRPr="00DA0A01" w:rsidRDefault="00DE3456" w:rsidP="00DA0A01">
            <w:pPr>
              <w:pStyle w:val="a7"/>
              <w:numPr>
                <w:ilvl w:val="0"/>
                <w:numId w:val="18"/>
              </w:numPr>
              <w:tabs>
                <w:tab w:val="left" w:pos="1440"/>
              </w:tabs>
              <w:snapToGrid w:val="0"/>
              <w:spacing w:after="100" w:afterAutospacing="1"/>
              <w:ind w:leftChars="0"/>
              <w:rPr>
                <w:rFonts w:ascii="Times New Roman" w:hAnsi="Times New Roman"/>
                <w:strike/>
                <w:sz w:val="20"/>
                <w:szCs w:val="20"/>
              </w:rPr>
            </w:pPr>
            <w:r w:rsidRPr="00F92283">
              <w:rPr>
                <w:rFonts w:ascii="Times New Roman" w:hAnsi="Times New Roman"/>
                <w:strike/>
                <w:sz w:val="20"/>
                <w:szCs w:val="20"/>
              </w:rPr>
              <w:t>Option 5: configurable between 1, 2,3,4,5 depending on UE capability</w:t>
            </w:r>
          </w:p>
        </w:tc>
      </w:tr>
    </w:tbl>
    <w:p w14:paraId="273416DA" w14:textId="77777777" w:rsidR="00521725" w:rsidRPr="00521725" w:rsidRDefault="00521725" w:rsidP="00521725">
      <w:pPr>
        <w:snapToGrid w:val="0"/>
        <w:spacing w:after="240"/>
        <w:contextualSpacing/>
        <w:jc w:val="left"/>
        <w:rPr>
          <w:rFonts w:ascii="Times New Roman" w:hAnsi="Times New Roman"/>
          <w:bCs/>
          <w:sz w:val="20"/>
          <w:szCs w:val="20"/>
        </w:rPr>
      </w:pPr>
      <w:r w:rsidRPr="00521725">
        <w:rPr>
          <w:rFonts w:ascii="Times New Roman" w:hAnsi="Times New Roman"/>
          <w:bCs/>
          <w:sz w:val="20"/>
          <w:szCs w:val="20"/>
        </w:rPr>
        <w:t>Baseline assumption is UE management for TCI state pool is independent for LTM and legacy BM. The potential benefit to retain TCI states other than target cell is to be ready for the immediate handover (LTM) right after cell switch.</w:t>
      </w:r>
    </w:p>
    <w:p w14:paraId="145D6C2F" w14:textId="77777777" w:rsidR="00521725" w:rsidRPr="00521725" w:rsidRDefault="00521725" w:rsidP="00521725">
      <w:pPr>
        <w:pStyle w:val="a7"/>
        <w:numPr>
          <w:ilvl w:val="0"/>
          <w:numId w:val="20"/>
        </w:numPr>
        <w:snapToGrid w:val="0"/>
        <w:spacing w:after="240"/>
        <w:ind w:leftChars="0"/>
        <w:contextualSpacing/>
        <w:jc w:val="left"/>
        <w:rPr>
          <w:rFonts w:ascii="Times New Roman" w:hAnsi="Times New Roman"/>
          <w:bCs/>
          <w:sz w:val="20"/>
          <w:szCs w:val="20"/>
        </w:rPr>
      </w:pPr>
      <w:r w:rsidRPr="00521725">
        <w:rPr>
          <w:rFonts w:ascii="Times New Roman" w:hAnsi="Times New Roman"/>
          <w:bCs/>
          <w:sz w:val="20"/>
          <w:szCs w:val="20"/>
        </w:rPr>
        <w:t>Option 1: UE retains the activated LTM TCI states only for the target cell</w:t>
      </w:r>
    </w:p>
    <w:p w14:paraId="5F0C0962" w14:textId="77777777" w:rsidR="00521725" w:rsidRPr="00521725" w:rsidRDefault="00521725" w:rsidP="00521725">
      <w:pPr>
        <w:snapToGrid w:val="0"/>
        <w:spacing w:after="240"/>
        <w:contextualSpacing/>
        <w:jc w:val="left"/>
        <w:rPr>
          <w:rFonts w:ascii="Times New Roman" w:hAnsi="Times New Roman"/>
          <w:bCs/>
          <w:sz w:val="20"/>
          <w:szCs w:val="20"/>
        </w:rPr>
      </w:pPr>
      <w:r w:rsidRPr="00521725">
        <w:rPr>
          <w:rFonts w:ascii="Times New Roman" w:hAnsi="Times New Roman"/>
          <w:bCs/>
          <w:sz w:val="20"/>
          <w:szCs w:val="20"/>
        </w:rPr>
        <w:t>The potential benefit to retain TCI states for target cell is to be ready beam switch (</w:t>
      </w:r>
      <w:proofErr w:type="gramStart"/>
      <w:r w:rsidRPr="00521725">
        <w:rPr>
          <w:rFonts w:ascii="Times New Roman" w:hAnsi="Times New Roman"/>
          <w:bCs/>
          <w:sz w:val="20"/>
          <w:szCs w:val="20"/>
        </w:rPr>
        <w:t>i.e.</w:t>
      </w:r>
      <w:proofErr w:type="gramEnd"/>
      <w:r w:rsidRPr="00521725">
        <w:rPr>
          <w:rFonts w:ascii="Times New Roman" w:hAnsi="Times New Roman"/>
          <w:bCs/>
          <w:sz w:val="20"/>
          <w:szCs w:val="20"/>
        </w:rPr>
        <w:t xml:space="preserve"> legacy beam management) right after cell switch. It was pointed out that his concept contradicts with the baseline assumption above. However, the benefit may remain if the association between two pools are define</w:t>
      </w:r>
    </w:p>
    <w:p w14:paraId="6BD0EB49" w14:textId="77777777" w:rsidR="00521725" w:rsidRPr="00521725" w:rsidRDefault="00521725" w:rsidP="00521725">
      <w:pPr>
        <w:snapToGrid w:val="0"/>
        <w:spacing w:after="240"/>
        <w:contextualSpacing/>
        <w:jc w:val="left"/>
        <w:rPr>
          <w:rFonts w:ascii="Times New Roman" w:hAnsi="Times New Roman"/>
          <w:bCs/>
          <w:sz w:val="20"/>
          <w:szCs w:val="20"/>
        </w:rPr>
      </w:pPr>
      <w:r w:rsidRPr="00521725">
        <w:rPr>
          <w:rFonts w:ascii="Times New Roman" w:hAnsi="Times New Roman"/>
          <w:bCs/>
          <w:sz w:val="20"/>
          <w:szCs w:val="20"/>
        </w:rPr>
        <w:t>Retaining the activated LTM TCI states only for the target cell can simplify the process and minimize resource usage. However, this option might not provide the best performance if the UE frequently switches between cells.</w:t>
      </w:r>
    </w:p>
    <w:p w14:paraId="48DF44EF" w14:textId="77777777" w:rsidR="00521725" w:rsidRPr="00521725" w:rsidRDefault="00521725" w:rsidP="00521725">
      <w:pPr>
        <w:pStyle w:val="a7"/>
        <w:numPr>
          <w:ilvl w:val="0"/>
          <w:numId w:val="20"/>
        </w:numPr>
        <w:snapToGrid w:val="0"/>
        <w:spacing w:after="240"/>
        <w:ind w:leftChars="0"/>
        <w:contextualSpacing/>
        <w:jc w:val="left"/>
        <w:rPr>
          <w:rFonts w:ascii="Times New Roman" w:hAnsi="Times New Roman"/>
          <w:bCs/>
          <w:sz w:val="20"/>
          <w:szCs w:val="20"/>
        </w:rPr>
      </w:pPr>
      <w:r w:rsidRPr="00521725">
        <w:rPr>
          <w:rFonts w:ascii="Times New Roman" w:hAnsi="Times New Roman"/>
          <w:bCs/>
          <w:sz w:val="20"/>
          <w:szCs w:val="20"/>
        </w:rPr>
        <w:t>Option 3: UE retains the activated LTM TCI states for all candidate cells (may need RRC configuration / MAC CE to deactivate– FFS condition)</w:t>
      </w:r>
    </w:p>
    <w:p w14:paraId="38645094" w14:textId="77777777" w:rsidR="00521725" w:rsidRPr="00521725" w:rsidRDefault="00521725" w:rsidP="00521725">
      <w:pPr>
        <w:snapToGrid w:val="0"/>
        <w:spacing w:after="240"/>
        <w:contextualSpacing/>
        <w:jc w:val="left"/>
        <w:rPr>
          <w:rFonts w:ascii="Times New Roman" w:hAnsi="Times New Roman"/>
          <w:bCs/>
          <w:sz w:val="20"/>
          <w:szCs w:val="20"/>
        </w:rPr>
      </w:pPr>
      <w:r w:rsidRPr="00521725">
        <w:rPr>
          <w:rFonts w:ascii="Times New Roman" w:hAnsi="Times New Roman"/>
          <w:bCs/>
          <w:sz w:val="20"/>
          <w:szCs w:val="20"/>
        </w:rPr>
        <w:t>Retaining the activated LTM TCI states for all candidate cells can provide a smoother handover experience when the UE moves between cells. This option might require additional configuration and might use more resources. But it can potentially offer better performance in a dynamic network environment.</w:t>
      </w:r>
    </w:p>
    <w:p w14:paraId="7B7409BD" w14:textId="77777777" w:rsidR="00521725" w:rsidRPr="00521725" w:rsidRDefault="00521725" w:rsidP="00521725">
      <w:pPr>
        <w:pStyle w:val="a7"/>
        <w:numPr>
          <w:ilvl w:val="0"/>
          <w:numId w:val="20"/>
        </w:numPr>
        <w:snapToGrid w:val="0"/>
        <w:spacing w:after="240"/>
        <w:ind w:leftChars="0"/>
        <w:contextualSpacing/>
        <w:jc w:val="left"/>
        <w:rPr>
          <w:rFonts w:ascii="Times New Roman" w:hAnsi="Times New Roman"/>
          <w:bCs/>
          <w:sz w:val="20"/>
          <w:szCs w:val="20"/>
        </w:rPr>
      </w:pPr>
      <w:r w:rsidRPr="00521725">
        <w:rPr>
          <w:rFonts w:ascii="Times New Roman" w:hAnsi="Times New Roman"/>
          <w:bCs/>
          <w:sz w:val="20"/>
          <w:szCs w:val="20"/>
        </w:rPr>
        <w:t>Option 4: UE deactivates all activated LTM TCI states other than indicated TCI state</w:t>
      </w:r>
    </w:p>
    <w:p w14:paraId="6C2AFEDF" w14:textId="77777777" w:rsidR="00521725" w:rsidRPr="00521725" w:rsidRDefault="00521725" w:rsidP="00521725">
      <w:pPr>
        <w:snapToGrid w:val="0"/>
        <w:spacing w:after="240"/>
        <w:contextualSpacing/>
        <w:jc w:val="left"/>
        <w:rPr>
          <w:rFonts w:ascii="Times New Roman" w:hAnsi="Times New Roman"/>
          <w:bCs/>
          <w:sz w:val="20"/>
          <w:szCs w:val="20"/>
        </w:rPr>
      </w:pPr>
      <w:r w:rsidRPr="00521725">
        <w:rPr>
          <w:rFonts w:ascii="Times New Roman" w:hAnsi="Times New Roman"/>
          <w:bCs/>
          <w:sz w:val="20"/>
          <w:szCs w:val="20"/>
        </w:rPr>
        <w:t>Deactivating all activated LTM TCI states other than the indicated TCI state can also simplify the process and minimize resource usage. However, like Option 1, this option might not provide the best performance in a dynamic network environment.</w:t>
      </w:r>
    </w:p>
    <w:p w14:paraId="4880B3FC" w14:textId="77777777" w:rsidR="00521725" w:rsidRDefault="00521725" w:rsidP="00521725">
      <w:pPr>
        <w:snapToGrid w:val="0"/>
        <w:spacing w:after="240"/>
        <w:contextualSpacing/>
        <w:jc w:val="left"/>
        <w:rPr>
          <w:rFonts w:ascii="Times New Roman" w:hAnsi="Times New Roman"/>
          <w:bCs/>
          <w:sz w:val="20"/>
          <w:szCs w:val="20"/>
        </w:rPr>
      </w:pPr>
      <w:r w:rsidRPr="00521725">
        <w:rPr>
          <w:rFonts w:ascii="Times New Roman" w:hAnsi="Times New Roman"/>
          <w:bCs/>
          <w:sz w:val="20"/>
          <w:szCs w:val="20"/>
        </w:rPr>
        <w:lastRenderedPageBreak/>
        <w:t xml:space="preserve">In summary, if the network environment is relatively stable and the UE does not frequently move between cells, then Option 1 or Option 4 might be suitable. On the other hand, if the network environment is dynamic and the UE frequently switches between cells, then Option 3 might be the better choice. </w:t>
      </w:r>
    </w:p>
    <w:p w14:paraId="0FB4B16D" w14:textId="77777777" w:rsidR="005C3920" w:rsidRPr="00521725" w:rsidRDefault="005C3920" w:rsidP="00521725">
      <w:pPr>
        <w:snapToGrid w:val="0"/>
        <w:spacing w:after="240"/>
        <w:contextualSpacing/>
        <w:jc w:val="left"/>
        <w:rPr>
          <w:rFonts w:ascii="Times New Roman" w:hAnsi="Times New Roman"/>
          <w:bCs/>
          <w:sz w:val="20"/>
          <w:szCs w:val="20"/>
        </w:rPr>
      </w:pPr>
    </w:p>
    <w:p w14:paraId="0FD73D40" w14:textId="0C85B7DF" w:rsidR="000A6068" w:rsidRPr="005C3920" w:rsidRDefault="00521725" w:rsidP="00521725">
      <w:pPr>
        <w:snapToGrid w:val="0"/>
        <w:spacing w:after="240"/>
        <w:contextualSpacing/>
        <w:jc w:val="left"/>
        <w:rPr>
          <w:rFonts w:ascii="Times New Roman" w:hAnsi="Times New Roman"/>
          <w:b/>
          <w:sz w:val="20"/>
          <w:szCs w:val="20"/>
        </w:rPr>
      </w:pPr>
      <w:bookmarkStart w:id="4" w:name="p5"/>
      <w:r w:rsidRPr="005C3920">
        <w:rPr>
          <w:rFonts w:ascii="Times New Roman" w:hAnsi="Times New Roman"/>
          <w:b/>
          <w:sz w:val="20"/>
          <w:szCs w:val="20"/>
        </w:rPr>
        <w:t>Proposal 5: Support Option 3: UE retains the activated LTM TCI states for all candidate cells</w:t>
      </w:r>
    </w:p>
    <w:bookmarkEnd w:id="4"/>
    <w:p w14:paraId="3258C27E" w14:textId="6B61C0F5" w:rsidR="005E59E8" w:rsidRPr="0004321E" w:rsidRDefault="005E59E8" w:rsidP="00CE1679">
      <w:pPr>
        <w:snapToGrid w:val="0"/>
        <w:jc w:val="left"/>
        <w:rPr>
          <w:sz w:val="20"/>
          <w:szCs w:val="20"/>
          <w:lang w:val="en-GB"/>
        </w:rPr>
      </w:pPr>
    </w:p>
    <w:p w14:paraId="3F6D8C80" w14:textId="39B41705" w:rsidR="00C2028F" w:rsidRPr="0004321E" w:rsidRDefault="00C2028F" w:rsidP="00CE1679">
      <w:pPr>
        <w:pStyle w:val="1"/>
        <w:numPr>
          <w:ilvl w:val="0"/>
          <w:numId w:val="1"/>
        </w:numPr>
        <w:snapToGrid w:val="0"/>
        <w:rPr>
          <w:rFonts w:ascii="Arial" w:hAnsi="Arial" w:cs="Arial"/>
          <w:b/>
          <w:sz w:val="20"/>
          <w:szCs w:val="20"/>
        </w:rPr>
      </w:pPr>
      <w:r w:rsidRPr="0004321E">
        <w:rPr>
          <w:rFonts w:ascii="Arial" w:hAnsi="Arial" w:cs="Arial"/>
          <w:b/>
          <w:sz w:val="20"/>
          <w:szCs w:val="20"/>
        </w:rPr>
        <w:t>Conclusion</w:t>
      </w:r>
    </w:p>
    <w:p w14:paraId="55719020" w14:textId="4DC844CD" w:rsidR="00C2028F" w:rsidRPr="0004321E" w:rsidRDefault="00FD1669" w:rsidP="00CE1679">
      <w:pPr>
        <w:snapToGrid w:val="0"/>
        <w:spacing w:before="240"/>
        <w:rPr>
          <w:rFonts w:ascii="Times New Roman" w:hAnsi="Times New Roman"/>
          <w:kern w:val="0"/>
          <w:sz w:val="20"/>
          <w:szCs w:val="20"/>
        </w:rPr>
      </w:pPr>
      <w:r w:rsidRPr="0004321E">
        <w:rPr>
          <w:rFonts w:ascii="Times New Roman" w:hAnsi="Times New Roman"/>
          <w:kern w:val="0"/>
          <w:sz w:val="20"/>
          <w:szCs w:val="20"/>
        </w:rPr>
        <w:t xml:space="preserve">This contribution discussed </w:t>
      </w:r>
      <w:r w:rsidR="00C047B8" w:rsidRPr="0004321E">
        <w:rPr>
          <w:rFonts w:ascii="Times New Roman" w:hAnsi="Times New Roman"/>
          <w:sz w:val="20"/>
          <w:szCs w:val="20"/>
        </w:rPr>
        <w:t>L1 enhancements for inter-cell beam management</w:t>
      </w:r>
      <w:r w:rsidR="00C047B8" w:rsidRPr="0004321E">
        <w:rPr>
          <w:rFonts w:ascii="Times New Roman" w:hAnsi="Times New Roman" w:hint="eastAsia"/>
          <w:sz w:val="20"/>
          <w:szCs w:val="20"/>
        </w:rPr>
        <w:t xml:space="preserve"> </w:t>
      </w:r>
      <w:r w:rsidR="00C047B8" w:rsidRPr="0004321E">
        <w:rPr>
          <w:rFonts w:ascii="Times New Roman" w:hAnsi="Times New Roman"/>
          <w:sz w:val="20"/>
          <w:szCs w:val="20"/>
        </w:rPr>
        <w:t xml:space="preserve">aspects of </w:t>
      </w:r>
      <w:r w:rsidR="00F8548C" w:rsidRPr="0004321E">
        <w:rPr>
          <w:rFonts w:ascii="Times New Roman" w:hAnsi="Times New Roman"/>
          <w:sz w:val="20"/>
          <w:szCs w:val="20"/>
        </w:rPr>
        <w:t>LTM</w:t>
      </w:r>
      <w:r w:rsidR="00C047B8" w:rsidRPr="0004321E">
        <w:rPr>
          <w:rFonts w:ascii="Times New Roman" w:hAnsi="Times New Roman"/>
          <w:sz w:val="20"/>
          <w:szCs w:val="20"/>
        </w:rPr>
        <w:t xml:space="preserve"> </w:t>
      </w:r>
      <w:r w:rsidRPr="0004321E">
        <w:rPr>
          <w:rFonts w:ascii="Times New Roman" w:hAnsi="Times New Roman"/>
          <w:kern w:val="0"/>
          <w:sz w:val="20"/>
          <w:szCs w:val="20"/>
        </w:rPr>
        <w:t>and proposed the following:</w:t>
      </w:r>
    </w:p>
    <w:p w14:paraId="14AB8B05" w14:textId="0D8D2E82" w:rsidR="00537749" w:rsidRPr="006C3326" w:rsidRDefault="00537749" w:rsidP="00C46387">
      <w:pPr>
        <w:snapToGrid w:val="0"/>
        <w:contextualSpacing/>
        <w:rPr>
          <w:rFonts w:ascii="Times New Roman" w:hAnsi="Times New Roman"/>
          <w:b/>
          <w:bCs/>
          <w:sz w:val="20"/>
          <w:szCs w:val="20"/>
        </w:rPr>
      </w:pPr>
      <w:r>
        <w:rPr>
          <w:rFonts w:ascii="Times New Roman" w:hAnsi="Times New Roman"/>
          <w:b/>
          <w:sz w:val="24"/>
          <w:szCs w:val="24"/>
        </w:rPr>
        <w:fldChar w:fldCharType="begin"/>
      </w:r>
      <w:r>
        <w:rPr>
          <w:rFonts w:ascii="Times New Roman" w:hAnsi="Times New Roman"/>
          <w:b/>
          <w:sz w:val="24"/>
          <w:szCs w:val="24"/>
        </w:rPr>
        <w:instrText xml:space="preserve"> REF p1 \h </w:instrText>
      </w:r>
      <w:r>
        <w:rPr>
          <w:rFonts w:ascii="Times New Roman" w:hAnsi="Times New Roman"/>
          <w:b/>
          <w:sz w:val="24"/>
          <w:szCs w:val="24"/>
        </w:rPr>
      </w:r>
      <w:r>
        <w:rPr>
          <w:rFonts w:ascii="Times New Roman" w:hAnsi="Times New Roman"/>
          <w:b/>
          <w:sz w:val="24"/>
          <w:szCs w:val="24"/>
        </w:rPr>
        <w:fldChar w:fldCharType="separate"/>
      </w:r>
      <w:r w:rsidRPr="00C46387">
        <w:rPr>
          <w:rFonts w:ascii="Times New Roman" w:hAnsi="Times New Roman" w:hint="eastAsia"/>
          <w:b/>
          <w:bCs/>
          <w:sz w:val="20"/>
          <w:szCs w:val="20"/>
        </w:rPr>
        <w:t>P</w:t>
      </w:r>
      <w:r w:rsidRPr="00C46387">
        <w:rPr>
          <w:rFonts w:ascii="Times New Roman" w:hAnsi="Times New Roman"/>
          <w:b/>
          <w:bCs/>
          <w:sz w:val="20"/>
          <w:szCs w:val="20"/>
        </w:rPr>
        <w:t>roposal</w:t>
      </w:r>
      <w:r>
        <w:rPr>
          <w:rFonts w:ascii="Times New Roman" w:hAnsi="Times New Roman"/>
          <w:b/>
          <w:bCs/>
          <w:sz w:val="20"/>
          <w:szCs w:val="20"/>
        </w:rPr>
        <w:t xml:space="preserve"> </w:t>
      </w:r>
      <w:r w:rsidRPr="00C46387">
        <w:rPr>
          <w:rFonts w:ascii="Times New Roman" w:hAnsi="Times New Roman"/>
          <w:b/>
          <w:bCs/>
          <w:sz w:val="20"/>
          <w:szCs w:val="20"/>
        </w:rPr>
        <w:t xml:space="preserve">1: Support Opt.5 </w:t>
      </w:r>
    </w:p>
    <w:p w14:paraId="14010866" w14:textId="77777777" w:rsidR="006C3326" w:rsidRPr="006C3326" w:rsidRDefault="006C3326" w:rsidP="00C46387">
      <w:pPr>
        <w:numPr>
          <w:ilvl w:val="0"/>
          <w:numId w:val="13"/>
        </w:numPr>
        <w:snapToGrid w:val="0"/>
        <w:contextualSpacing/>
        <w:rPr>
          <w:rFonts w:ascii="Times New Roman" w:hAnsi="Times New Roman"/>
          <w:b/>
          <w:bCs/>
          <w:sz w:val="20"/>
          <w:szCs w:val="20"/>
        </w:rPr>
      </w:pPr>
      <w:r w:rsidRPr="006C3326">
        <w:rPr>
          <w:rFonts w:ascii="Times New Roman" w:hAnsi="Times New Roman"/>
          <w:b/>
          <w:bCs/>
          <w:sz w:val="20"/>
          <w:szCs w:val="20"/>
          <w:lang w:val="en-GB"/>
        </w:rPr>
        <w:t xml:space="preserve">Opt.5: During RACH procedure, </w:t>
      </w:r>
      <w:r w:rsidRPr="006C3326">
        <w:rPr>
          <w:rFonts w:ascii="Times New Roman" w:hAnsi="Times New Roman"/>
          <w:b/>
          <w:bCs/>
          <w:sz w:val="20"/>
          <w:szCs w:val="20"/>
          <w:highlight w:val="cyan"/>
          <w:lang w:val="en-GB"/>
        </w:rPr>
        <w:t>a UE follows the SSB of the indicated TCI-state in the cell switch command.</w:t>
      </w:r>
      <w:r w:rsidRPr="006C3326">
        <w:rPr>
          <w:rFonts w:ascii="Times New Roman" w:hAnsi="Times New Roman"/>
          <w:b/>
          <w:bCs/>
          <w:sz w:val="20"/>
          <w:szCs w:val="20"/>
          <w:lang w:val="en-GB"/>
        </w:rPr>
        <w:t xml:space="preserve"> After RACH procedure until a new TCI state is indicated by the target cell, a UE follows the indicated TCI-state in the cell switch </w:t>
      </w:r>
      <w:r w:rsidRPr="006C3326">
        <w:rPr>
          <w:rFonts w:ascii="Times New Roman" w:hAnsi="Times New Roman"/>
          <w:b/>
          <w:bCs/>
          <w:sz w:val="20"/>
          <w:szCs w:val="20"/>
          <w:highlight w:val="yellow"/>
          <w:lang w:val="en-GB"/>
        </w:rPr>
        <w:t>command</w:t>
      </w:r>
    </w:p>
    <w:p w14:paraId="732FB7F4" w14:textId="06ABF2C5" w:rsidR="00537749" w:rsidRPr="00EB29F1" w:rsidRDefault="00537749" w:rsidP="00EB29F1">
      <w:pPr>
        <w:snapToGrid w:val="0"/>
        <w:rPr>
          <w:rFonts w:ascii="Times New Roman" w:hAnsi="Times New Roman"/>
          <w:sz w:val="20"/>
          <w:szCs w:val="20"/>
        </w:rPr>
      </w:pPr>
      <w:r>
        <w:rPr>
          <w:rFonts w:ascii="Times New Roman" w:hAnsi="Times New Roman"/>
          <w:b/>
          <w:sz w:val="24"/>
          <w:szCs w:val="24"/>
        </w:rPr>
        <w:fldChar w:fldCharType="end"/>
      </w:r>
      <w:r>
        <w:rPr>
          <w:rFonts w:ascii="Times New Roman" w:hAnsi="Times New Roman"/>
          <w:b/>
          <w:sz w:val="24"/>
          <w:szCs w:val="24"/>
        </w:rPr>
        <w:fldChar w:fldCharType="begin"/>
      </w:r>
      <w:r>
        <w:rPr>
          <w:rFonts w:ascii="Times New Roman" w:hAnsi="Times New Roman"/>
          <w:b/>
          <w:sz w:val="24"/>
          <w:szCs w:val="24"/>
        </w:rPr>
        <w:instrText xml:space="preserve"> REF p2 \h </w:instrText>
      </w:r>
      <w:r>
        <w:rPr>
          <w:rFonts w:ascii="Times New Roman" w:hAnsi="Times New Roman"/>
          <w:b/>
          <w:sz w:val="24"/>
          <w:szCs w:val="24"/>
        </w:rPr>
      </w:r>
      <w:r>
        <w:rPr>
          <w:rFonts w:ascii="Times New Roman" w:hAnsi="Times New Roman"/>
          <w:b/>
          <w:sz w:val="24"/>
          <w:szCs w:val="24"/>
        </w:rPr>
        <w:fldChar w:fldCharType="separate"/>
      </w:r>
      <w:r w:rsidRPr="00EB29F1">
        <w:rPr>
          <w:rFonts w:ascii="Times New Roman" w:hAnsi="Times New Roman"/>
          <w:b/>
          <w:bCs/>
          <w:sz w:val="20"/>
          <w:szCs w:val="20"/>
        </w:rPr>
        <w:t xml:space="preserve">Proposal 2: </w:t>
      </w:r>
      <w:r w:rsidRPr="00EB29F1">
        <w:rPr>
          <w:rFonts w:ascii="Times New Roman" w:hAnsi="Times New Roman"/>
          <w:b/>
          <w:bCs/>
          <w:sz w:val="20"/>
          <w:szCs w:val="20"/>
          <w:lang w:val="en-GB"/>
        </w:rPr>
        <w:t>TCI state activation is separately managed by the UE for Rel-18 LTM and beam management</w:t>
      </w:r>
    </w:p>
    <w:p w14:paraId="678A6D03" w14:textId="3CA60868" w:rsidR="00537749" w:rsidRPr="00EB29F1" w:rsidRDefault="00537749" w:rsidP="00EB29F1">
      <w:pPr>
        <w:snapToGrid w:val="0"/>
        <w:rPr>
          <w:rFonts w:ascii="Times New Roman" w:hAnsi="Times New Roman"/>
          <w:sz w:val="20"/>
          <w:szCs w:val="20"/>
        </w:rPr>
      </w:pPr>
      <w:r>
        <w:rPr>
          <w:rFonts w:ascii="Times New Roman" w:hAnsi="Times New Roman"/>
          <w:b/>
          <w:sz w:val="24"/>
          <w:szCs w:val="24"/>
        </w:rPr>
        <w:fldChar w:fldCharType="end"/>
      </w:r>
      <w:r>
        <w:rPr>
          <w:rFonts w:ascii="Times New Roman" w:hAnsi="Times New Roman"/>
          <w:b/>
          <w:sz w:val="24"/>
          <w:szCs w:val="24"/>
        </w:rPr>
        <w:fldChar w:fldCharType="begin"/>
      </w:r>
      <w:r>
        <w:rPr>
          <w:rFonts w:ascii="Times New Roman" w:hAnsi="Times New Roman"/>
          <w:b/>
          <w:sz w:val="24"/>
          <w:szCs w:val="24"/>
        </w:rPr>
        <w:instrText xml:space="preserve"> REF p3 \h </w:instrText>
      </w:r>
      <w:r>
        <w:rPr>
          <w:rFonts w:ascii="Times New Roman" w:hAnsi="Times New Roman"/>
          <w:b/>
          <w:sz w:val="24"/>
          <w:szCs w:val="24"/>
        </w:rPr>
      </w:r>
      <w:r>
        <w:rPr>
          <w:rFonts w:ascii="Times New Roman" w:hAnsi="Times New Roman"/>
          <w:b/>
          <w:sz w:val="24"/>
          <w:szCs w:val="24"/>
        </w:rPr>
        <w:fldChar w:fldCharType="separate"/>
      </w:r>
      <w:r w:rsidRPr="00EB29F1">
        <w:rPr>
          <w:rFonts w:ascii="Times New Roman" w:hAnsi="Times New Roman"/>
          <w:b/>
          <w:bCs/>
          <w:sz w:val="20"/>
          <w:szCs w:val="20"/>
        </w:rPr>
        <w:t>Proposal 3: LTM</w:t>
      </w:r>
      <w:r w:rsidRPr="00EB29F1">
        <w:rPr>
          <w:rFonts w:ascii="Times New Roman" w:hAnsi="Times New Roman"/>
          <w:b/>
          <w:bCs/>
          <w:sz w:val="20"/>
          <w:szCs w:val="20"/>
          <w:lang w:val="en-GB"/>
        </w:rPr>
        <w:t xml:space="preserve"> TCI state activation does not deactivate the activated TCI states for legacy BM, and vice versa</w:t>
      </w:r>
    </w:p>
    <w:p w14:paraId="13620AAB" w14:textId="3898366D" w:rsidR="00537749" w:rsidRPr="00EB29F1" w:rsidRDefault="00537749" w:rsidP="00EB29F1">
      <w:pPr>
        <w:snapToGrid w:val="0"/>
        <w:rPr>
          <w:rFonts w:ascii="Times New Roman" w:hAnsi="Times New Roman"/>
          <w:sz w:val="20"/>
          <w:szCs w:val="20"/>
        </w:rPr>
      </w:pPr>
      <w:r>
        <w:rPr>
          <w:rFonts w:ascii="Times New Roman" w:hAnsi="Times New Roman"/>
          <w:b/>
          <w:sz w:val="24"/>
          <w:szCs w:val="24"/>
        </w:rPr>
        <w:fldChar w:fldCharType="end"/>
      </w:r>
      <w:r>
        <w:rPr>
          <w:rFonts w:ascii="Times New Roman" w:hAnsi="Times New Roman"/>
          <w:b/>
          <w:sz w:val="24"/>
          <w:szCs w:val="24"/>
        </w:rPr>
        <w:fldChar w:fldCharType="begin"/>
      </w:r>
      <w:r>
        <w:rPr>
          <w:rFonts w:ascii="Times New Roman" w:hAnsi="Times New Roman"/>
          <w:b/>
          <w:sz w:val="24"/>
          <w:szCs w:val="24"/>
        </w:rPr>
        <w:instrText xml:space="preserve"> REF p4 \h </w:instrText>
      </w:r>
      <w:r>
        <w:rPr>
          <w:rFonts w:ascii="Times New Roman" w:hAnsi="Times New Roman"/>
          <w:b/>
          <w:sz w:val="24"/>
          <w:szCs w:val="24"/>
        </w:rPr>
      </w:r>
      <w:r>
        <w:rPr>
          <w:rFonts w:ascii="Times New Roman" w:hAnsi="Times New Roman"/>
          <w:b/>
          <w:sz w:val="24"/>
          <w:szCs w:val="24"/>
        </w:rPr>
        <w:fldChar w:fldCharType="separate"/>
      </w:r>
      <w:r w:rsidRPr="00EB29F1">
        <w:rPr>
          <w:rFonts w:ascii="Times New Roman" w:hAnsi="Times New Roman"/>
          <w:b/>
          <w:bCs/>
          <w:sz w:val="20"/>
          <w:szCs w:val="20"/>
        </w:rPr>
        <w:t>Proposal 4: MAC</w:t>
      </w:r>
      <w:r w:rsidRPr="00EB29F1">
        <w:rPr>
          <w:rFonts w:ascii="Times New Roman" w:hAnsi="Times New Roman"/>
          <w:b/>
          <w:bCs/>
          <w:sz w:val="20"/>
          <w:szCs w:val="20"/>
          <w:lang w:val="en-GB"/>
        </w:rPr>
        <w:t xml:space="preserve"> CE to activate TCI state is separately defined for Rel-18 LTM and legacy BM</w:t>
      </w:r>
    </w:p>
    <w:p w14:paraId="556857BB" w14:textId="0D5E2BE9" w:rsidR="00537749" w:rsidRPr="005C3920" w:rsidRDefault="00537749" w:rsidP="00521725">
      <w:pPr>
        <w:snapToGrid w:val="0"/>
        <w:spacing w:after="240"/>
        <w:contextualSpacing/>
        <w:jc w:val="left"/>
        <w:rPr>
          <w:rFonts w:ascii="Times New Roman" w:hAnsi="Times New Roman"/>
          <w:b/>
          <w:sz w:val="20"/>
          <w:szCs w:val="20"/>
        </w:rPr>
      </w:pPr>
      <w:r>
        <w:rPr>
          <w:rFonts w:ascii="Times New Roman" w:hAnsi="Times New Roman"/>
          <w:b/>
          <w:sz w:val="24"/>
          <w:szCs w:val="24"/>
        </w:rPr>
        <w:fldChar w:fldCharType="end"/>
      </w:r>
      <w:r>
        <w:rPr>
          <w:rFonts w:ascii="Times New Roman" w:hAnsi="Times New Roman"/>
          <w:b/>
          <w:sz w:val="24"/>
          <w:szCs w:val="24"/>
        </w:rPr>
        <w:fldChar w:fldCharType="begin"/>
      </w:r>
      <w:r>
        <w:rPr>
          <w:rFonts w:ascii="Times New Roman" w:hAnsi="Times New Roman"/>
          <w:b/>
          <w:sz w:val="24"/>
          <w:szCs w:val="24"/>
        </w:rPr>
        <w:instrText xml:space="preserve"> REF p5 \h </w:instrText>
      </w:r>
      <w:r>
        <w:rPr>
          <w:rFonts w:ascii="Times New Roman" w:hAnsi="Times New Roman"/>
          <w:b/>
          <w:sz w:val="24"/>
          <w:szCs w:val="24"/>
        </w:rPr>
      </w:r>
      <w:r>
        <w:rPr>
          <w:rFonts w:ascii="Times New Roman" w:hAnsi="Times New Roman"/>
          <w:b/>
          <w:sz w:val="24"/>
          <w:szCs w:val="24"/>
        </w:rPr>
        <w:fldChar w:fldCharType="separate"/>
      </w:r>
      <w:r w:rsidRPr="005C3920">
        <w:rPr>
          <w:rFonts w:ascii="Times New Roman" w:hAnsi="Times New Roman"/>
          <w:b/>
          <w:sz w:val="20"/>
          <w:szCs w:val="20"/>
        </w:rPr>
        <w:t>Proposal 5: Support Option 3: UE retains the activated LTM TCI states for all candidate cells</w:t>
      </w:r>
    </w:p>
    <w:p w14:paraId="14920955" w14:textId="1EFA8F75" w:rsidR="00063000" w:rsidRPr="00145F15" w:rsidRDefault="00537749" w:rsidP="00CE1679">
      <w:pPr>
        <w:snapToGrid w:val="0"/>
        <w:contextualSpacing/>
        <w:rPr>
          <w:rFonts w:ascii="Times New Roman" w:hAnsi="Times New Roman"/>
          <w:b/>
          <w:sz w:val="24"/>
          <w:szCs w:val="24"/>
        </w:rPr>
      </w:pPr>
      <w:r>
        <w:rPr>
          <w:rFonts w:ascii="Times New Roman" w:hAnsi="Times New Roman"/>
          <w:b/>
          <w:sz w:val="24"/>
          <w:szCs w:val="24"/>
        </w:rPr>
        <w:fldChar w:fldCharType="end"/>
      </w:r>
    </w:p>
    <w:p w14:paraId="74740A40" w14:textId="77777777" w:rsidR="00C2028F" w:rsidRDefault="00C2028F" w:rsidP="00CE1679">
      <w:pPr>
        <w:pStyle w:val="1"/>
        <w:snapToGrid w:val="0"/>
        <w:rPr>
          <w:rFonts w:ascii="Arial" w:hAnsi="Arial" w:cs="Arial"/>
          <w:b/>
          <w:sz w:val="28"/>
          <w:szCs w:val="28"/>
        </w:rPr>
      </w:pPr>
      <w:r>
        <w:rPr>
          <w:rFonts w:ascii="Arial" w:hAnsi="Arial" w:cs="Arial"/>
          <w:b/>
          <w:sz w:val="28"/>
          <w:szCs w:val="28"/>
        </w:rPr>
        <w:t xml:space="preserve">Reference </w:t>
      </w:r>
    </w:p>
    <w:p w14:paraId="5EF4354B" w14:textId="25917256" w:rsidR="003160B5" w:rsidRPr="005C72E3" w:rsidRDefault="00064551" w:rsidP="00B04B6F">
      <w:pPr>
        <w:pStyle w:val="Reference"/>
        <w:numPr>
          <w:ilvl w:val="0"/>
          <w:numId w:val="2"/>
        </w:numPr>
        <w:overflowPunct w:val="0"/>
        <w:autoSpaceDE w:val="0"/>
        <w:autoSpaceDN w:val="0"/>
        <w:adjustRightInd w:val="0"/>
        <w:snapToGrid w:val="0"/>
        <w:spacing w:after="0" w:line="240" w:lineRule="auto"/>
        <w:jc w:val="both"/>
        <w:textAlignment w:val="baseline"/>
        <w:rPr>
          <w:rFonts w:ascii="Times New Roman" w:hAnsi="Times New Roman"/>
          <w:sz w:val="20"/>
          <w:szCs w:val="20"/>
        </w:rPr>
      </w:pPr>
      <w:r w:rsidRPr="005C72E3">
        <w:rPr>
          <w:rFonts w:ascii="Times New Roman" w:hAnsi="Times New Roman"/>
          <w:sz w:val="20"/>
          <w:szCs w:val="20"/>
        </w:rPr>
        <w:t>RP-231475</w:t>
      </w:r>
      <w:r w:rsidR="005D1D51" w:rsidRPr="005C72E3">
        <w:rPr>
          <w:rFonts w:ascii="Times New Roman" w:hAnsi="Times New Roman"/>
          <w:sz w:val="20"/>
          <w:szCs w:val="20"/>
        </w:rPr>
        <w:t>, Revised WID on Further NR mobility enhancements,</w:t>
      </w:r>
      <w:r w:rsidR="00030AB0" w:rsidRPr="00030AB0">
        <w:rPr>
          <w:rFonts w:ascii="Times New Roman" w:hAnsi="Times New Roman"/>
          <w:sz w:val="20"/>
          <w:szCs w:val="20"/>
        </w:rPr>
        <w:t xml:space="preserve"> </w:t>
      </w:r>
      <w:r w:rsidR="00030AB0" w:rsidRPr="005C72E3">
        <w:rPr>
          <w:rFonts w:ascii="Times New Roman" w:hAnsi="Times New Roman"/>
          <w:sz w:val="20"/>
          <w:szCs w:val="20"/>
        </w:rPr>
        <w:t>MediaTek Inc., Apple</w:t>
      </w:r>
      <w:r w:rsidR="00030AB0">
        <w:rPr>
          <w:rFonts w:ascii="Times New Roman" w:hAnsi="Times New Roman"/>
          <w:sz w:val="20"/>
          <w:szCs w:val="20"/>
        </w:rPr>
        <w:t xml:space="preserve">, </w:t>
      </w:r>
      <w:r w:rsidR="00BF09CC" w:rsidRPr="005C72E3">
        <w:rPr>
          <w:rFonts w:ascii="Times New Roman" w:hAnsi="Times New Roman"/>
          <w:sz w:val="20"/>
          <w:szCs w:val="20"/>
        </w:rPr>
        <w:t>RAN#100, June 2023</w:t>
      </w:r>
    </w:p>
    <w:p w14:paraId="027405A8" w14:textId="5E467DCD" w:rsidR="001354E0" w:rsidRPr="005C72E3" w:rsidRDefault="00CF5498" w:rsidP="00B04B6F">
      <w:pPr>
        <w:pStyle w:val="Reference"/>
        <w:numPr>
          <w:ilvl w:val="0"/>
          <w:numId w:val="2"/>
        </w:numPr>
        <w:overflowPunct w:val="0"/>
        <w:autoSpaceDE w:val="0"/>
        <w:autoSpaceDN w:val="0"/>
        <w:adjustRightInd w:val="0"/>
        <w:snapToGrid w:val="0"/>
        <w:spacing w:after="0" w:line="240" w:lineRule="auto"/>
        <w:jc w:val="both"/>
        <w:textAlignment w:val="baseline"/>
        <w:rPr>
          <w:rFonts w:ascii="Times New Roman" w:hAnsi="Times New Roman" w:cs="Times New Roman"/>
          <w:sz w:val="20"/>
          <w:szCs w:val="20"/>
        </w:rPr>
      </w:pPr>
      <w:r w:rsidRPr="00CF5498">
        <w:rPr>
          <w:rFonts w:ascii="Times New Roman" w:hAnsi="Times New Roman"/>
          <w:sz w:val="20"/>
          <w:szCs w:val="20"/>
        </w:rPr>
        <w:t>R1-2310643</w:t>
      </w:r>
      <w:r w:rsidR="003160B5" w:rsidRPr="005C72E3">
        <w:rPr>
          <w:rFonts w:ascii="Times New Roman" w:hAnsi="Times New Roman"/>
          <w:sz w:val="20"/>
          <w:szCs w:val="20"/>
        </w:rPr>
        <w:t>, Final FL summary on L1 enhancements for inter-cell beam management</w:t>
      </w:r>
      <w:r w:rsidR="0011268A" w:rsidRPr="005C72E3">
        <w:rPr>
          <w:rFonts w:ascii="Times New Roman" w:hAnsi="Times New Roman"/>
          <w:sz w:val="20"/>
          <w:szCs w:val="20"/>
        </w:rPr>
        <w:t>, Moderator (Fujitsu, MediaTek)</w:t>
      </w:r>
      <w:r w:rsidR="009245E4">
        <w:rPr>
          <w:rFonts w:ascii="Times New Roman" w:hAnsi="Times New Roman"/>
          <w:sz w:val="20"/>
          <w:szCs w:val="20"/>
        </w:rPr>
        <w:t xml:space="preserve">, </w:t>
      </w:r>
      <w:r w:rsidR="003A44B1" w:rsidRPr="003A44B1">
        <w:rPr>
          <w:rFonts w:ascii="Times New Roman" w:hAnsi="Times New Roman"/>
          <w:sz w:val="20"/>
          <w:szCs w:val="20"/>
        </w:rPr>
        <w:t xml:space="preserve">RAN1#114bis, </w:t>
      </w:r>
      <w:r w:rsidR="000419B6" w:rsidRPr="000419B6">
        <w:rPr>
          <w:rFonts w:ascii="Times New Roman" w:hAnsi="Times New Roman"/>
          <w:sz w:val="20"/>
          <w:szCs w:val="20"/>
        </w:rPr>
        <w:t>Xiamen, China, October 2023</w:t>
      </w:r>
    </w:p>
    <w:p w14:paraId="1DCFAEC7" w14:textId="203466B9" w:rsidR="00EA0CF0" w:rsidRPr="005C72E3" w:rsidRDefault="00EA0CF0" w:rsidP="00B61CD6">
      <w:pPr>
        <w:pStyle w:val="Reference"/>
        <w:numPr>
          <w:ilvl w:val="0"/>
          <w:numId w:val="0"/>
        </w:numPr>
        <w:overflowPunct w:val="0"/>
        <w:autoSpaceDE w:val="0"/>
        <w:autoSpaceDN w:val="0"/>
        <w:adjustRightInd w:val="0"/>
        <w:snapToGrid w:val="0"/>
        <w:spacing w:after="0" w:line="240" w:lineRule="auto"/>
        <w:ind w:left="420"/>
        <w:jc w:val="both"/>
        <w:textAlignment w:val="baseline"/>
        <w:rPr>
          <w:rFonts w:ascii="Times New Roman" w:hAnsi="Times New Roman"/>
          <w:sz w:val="20"/>
          <w:szCs w:val="20"/>
        </w:rPr>
      </w:pPr>
    </w:p>
    <w:sectPr w:rsidR="00EA0CF0" w:rsidRPr="005C72E3" w:rsidSect="008A60A3">
      <w:footerReference w:type="default" r:id="rId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00F51" w14:textId="77777777" w:rsidR="0072726E" w:rsidRDefault="0072726E" w:rsidP="00C2028F">
      <w:r>
        <w:separator/>
      </w:r>
    </w:p>
  </w:endnote>
  <w:endnote w:type="continuationSeparator" w:id="0">
    <w:p w14:paraId="2024E936" w14:textId="77777777" w:rsidR="0072726E" w:rsidRDefault="0072726E" w:rsidP="00C20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4979282"/>
      <w:docPartObj>
        <w:docPartGallery w:val="Page Numbers (Bottom of Page)"/>
        <w:docPartUnique/>
      </w:docPartObj>
    </w:sdtPr>
    <w:sdtEndPr/>
    <w:sdtContent>
      <w:p w14:paraId="6FAB7B10" w14:textId="77777777" w:rsidR="001D5642" w:rsidRDefault="001D5642">
        <w:pPr>
          <w:pStyle w:val="a5"/>
          <w:jc w:val="center"/>
        </w:pPr>
      </w:p>
      <w:p w14:paraId="143CD63D" w14:textId="544ED76E" w:rsidR="001D5642" w:rsidRDefault="001D5642">
        <w:pPr>
          <w:pStyle w:val="a5"/>
          <w:jc w:val="center"/>
        </w:pPr>
        <w:r>
          <w:fldChar w:fldCharType="begin"/>
        </w:r>
        <w:r>
          <w:instrText>PAGE   \* MERGEFORMAT</w:instrText>
        </w:r>
        <w:r>
          <w:fldChar w:fldCharType="separate"/>
        </w:r>
        <w:r>
          <w:rPr>
            <w:lang w:val="ja-JP"/>
          </w:rPr>
          <w:t>2</w:t>
        </w:r>
        <w:r>
          <w:fldChar w:fldCharType="end"/>
        </w:r>
      </w:p>
    </w:sdtContent>
  </w:sdt>
  <w:p w14:paraId="1E4A5EAC" w14:textId="77777777" w:rsidR="001D5642" w:rsidRDefault="001D564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2CFD8" w14:textId="77777777" w:rsidR="0072726E" w:rsidRDefault="0072726E" w:rsidP="00C2028F">
      <w:r>
        <w:separator/>
      </w:r>
    </w:p>
  </w:footnote>
  <w:footnote w:type="continuationSeparator" w:id="0">
    <w:p w14:paraId="53BF2E2B" w14:textId="77777777" w:rsidR="0072726E" w:rsidRDefault="0072726E" w:rsidP="00C20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1" w15:restartNumberingAfterBreak="0">
    <w:nsid w:val="043517C5"/>
    <w:multiLevelType w:val="hybridMultilevel"/>
    <w:tmpl w:val="47584E5E"/>
    <w:lvl w:ilvl="0" w:tplc="BCEE7200">
      <w:start w:val="1"/>
      <w:numFmt w:val="bullet"/>
      <w:lvlText w:val=""/>
      <w:lvlJc w:val="left"/>
      <w:pPr>
        <w:tabs>
          <w:tab w:val="num" w:pos="720"/>
        </w:tabs>
        <w:ind w:left="720" w:hanging="360"/>
      </w:pPr>
      <w:rPr>
        <w:rFonts w:ascii="Wingdings" w:hAnsi="Wingdings" w:hint="default"/>
      </w:rPr>
    </w:lvl>
    <w:lvl w:ilvl="1" w:tplc="020C0098" w:tentative="1">
      <w:start w:val="1"/>
      <w:numFmt w:val="bullet"/>
      <w:lvlText w:val=""/>
      <w:lvlJc w:val="left"/>
      <w:pPr>
        <w:tabs>
          <w:tab w:val="num" w:pos="1440"/>
        </w:tabs>
        <w:ind w:left="1440" w:hanging="360"/>
      </w:pPr>
      <w:rPr>
        <w:rFonts w:ascii="Wingdings" w:hAnsi="Wingdings" w:hint="default"/>
      </w:rPr>
    </w:lvl>
    <w:lvl w:ilvl="2" w:tplc="25BE2D6C" w:tentative="1">
      <w:start w:val="1"/>
      <w:numFmt w:val="bullet"/>
      <w:lvlText w:val=""/>
      <w:lvlJc w:val="left"/>
      <w:pPr>
        <w:tabs>
          <w:tab w:val="num" w:pos="2160"/>
        </w:tabs>
        <w:ind w:left="2160" w:hanging="360"/>
      </w:pPr>
      <w:rPr>
        <w:rFonts w:ascii="Wingdings" w:hAnsi="Wingdings" w:hint="default"/>
      </w:rPr>
    </w:lvl>
    <w:lvl w:ilvl="3" w:tplc="0F908A2A" w:tentative="1">
      <w:start w:val="1"/>
      <w:numFmt w:val="bullet"/>
      <w:lvlText w:val=""/>
      <w:lvlJc w:val="left"/>
      <w:pPr>
        <w:tabs>
          <w:tab w:val="num" w:pos="2880"/>
        </w:tabs>
        <w:ind w:left="2880" w:hanging="360"/>
      </w:pPr>
      <w:rPr>
        <w:rFonts w:ascii="Wingdings" w:hAnsi="Wingdings" w:hint="default"/>
      </w:rPr>
    </w:lvl>
    <w:lvl w:ilvl="4" w:tplc="D076E1EA" w:tentative="1">
      <w:start w:val="1"/>
      <w:numFmt w:val="bullet"/>
      <w:lvlText w:val=""/>
      <w:lvlJc w:val="left"/>
      <w:pPr>
        <w:tabs>
          <w:tab w:val="num" w:pos="3600"/>
        </w:tabs>
        <w:ind w:left="3600" w:hanging="360"/>
      </w:pPr>
      <w:rPr>
        <w:rFonts w:ascii="Wingdings" w:hAnsi="Wingdings" w:hint="default"/>
      </w:rPr>
    </w:lvl>
    <w:lvl w:ilvl="5" w:tplc="80162DC4" w:tentative="1">
      <w:start w:val="1"/>
      <w:numFmt w:val="bullet"/>
      <w:lvlText w:val=""/>
      <w:lvlJc w:val="left"/>
      <w:pPr>
        <w:tabs>
          <w:tab w:val="num" w:pos="4320"/>
        </w:tabs>
        <w:ind w:left="4320" w:hanging="360"/>
      </w:pPr>
      <w:rPr>
        <w:rFonts w:ascii="Wingdings" w:hAnsi="Wingdings" w:hint="default"/>
      </w:rPr>
    </w:lvl>
    <w:lvl w:ilvl="6" w:tplc="FC8C2E64" w:tentative="1">
      <w:start w:val="1"/>
      <w:numFmt w:val="bullet"/>
      <w:lvlText w:val=""/>
      <w:lvlJc w:val="left"/>
      <w:pPr>
        <w:tabs>
          <w:tab w:val="num" w:pos="5040"/>
        </w:tabs>
        <w:ind w:left="5040" w:hanging="360"/>
      </w:pPr>
      <w:rPr>
        <w:rFonts w:ascii="Wingdings" w:hAnsi="Wingdings" w:hint="default"/>
      </w:rPr>
    </w:lvl>
    <w:lvl w:ilvl="7" w:tplc="1DE09830" w:tentative="1">
      <w:start w:val="1"/>
      <w:numFmt w:val="bullet"/>
      <w:lvlText w:val=""/>
      <w:lvlJc w:val="left"/>
      <w:pPr>
        <w:tabs>
          <w:tab w:val="num" w:pos="5760"/>
        </w:tabs>
        <w:ind w:left="5760" w:hanging="360"/>
      </w:pPr>
      <w:rPr>
        <w:rFonts w:ascii="Wingdings" w:hAnsi="Wingdings" w:hint="default"/>
      </w:rPr>
    </w:lvl>
    <w:lvl w:ilvl="8" w:tplc="FCCA9F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50AC9"/>
    <w:multiLevelType w:val="multilevel"/>
    <w:tmpl w:val="B23EA528"/>
    <w:lvl w:ilvl="0">
      <w:start w:val="1"/>
      <w:numFmt w:val="decimal"/>
      <w:lvlText w:val="%1."/>
      <w:lvlJc w:val="left"/>
      <w:pPr>
        <w:ind w:left="360" w:hanging="360"/>
      </w:pPr>
    </w:lvl>
    <w:lvl w:ilvl="1">
      <w:start w:val="1"/>
      <w:numFmt w:val="decimal"/>
      <w:pStyle w:val="2"/>
      <w:isLgl/>
      <w:lvlText w:val="%1.%2"/>
      <w:lvlJc w:val="left"/>
      <w:pPr>
        <w:ind w:left="360" w:hanging="360"/>
      </w:pPr>
    </w:lvl>
    <w:lvl w:ilvl="2">
      <w:start w:val="1"/>
      <w:numFmt w:val="decimal"/>
      <w:pStyle w:val="3"/>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8EE722B"/>
    <w:multiLevelType w:val="hybridMultilevel"/>
    <w:tmpl w:val="55563672"/>
    <w:lvl w:ilvl="0" w:tplc="0922D252">
      <w:start w:val="1"/>
      <w:numFmt w:val="bullet"/>
      <w:lvlText w:val="-"/>
      <w:lvlJc w:val="left"/>
      <w:pPr>
        <w:tabs>
          <w:tab w:val="num" w:pos="360"/>
        </w:tabs>
        <w:ind w:left="360" w:hanging="360"/>
      </w:pPr>
      <w:rPr>
        <w:rFonts w:ascii="游ゴシック" w:hAnsi="游ゴシック" w:hint="default"/>
      </w:rPr>
    </w:lvl>
    <w:lvl w:ilvl="1" w:tplc="4DE224EE">
      <w:start w:val="1"/>
      <w:numFmt w:val="bullet"/>
      <w:lvlText w:val="-"/>
      <w:lvlJc w:val="left"/>
      <w:pPr>
        <w:tabs>
          <w:tab w:val="num" w:pos="1080"/>
        </w:tabs>
        <w:ind w:left="1080" w:hanging="360"/>
      </w:pPr>
      <w:rPr>
        <w:rFonts w:ascii="游ゴシック" w:hAnsi="游ゴシック" w:hint="default"/>
      </w:rPr>
    </w:lvl>
    <w:lvl w:ilvl="2" w:tplc="2F1CC3FE">
      <w:numFmt w:val="bullet"/>
      <w:lvlText w:val="-"/>
      <w:lvlJc w:val="left"/>
      <w:pPr>
        <w:tabs>
          <w:tab w:val="num" w:pos="1800"/>
        </w:tabs>
        <w:ind w:left="1800" w:hanging="360"/>
      </w:pPr>
      <w:rPr>
        <w:rFonts w:ascii="游ゴシック" w:hAnsi="游ゴシック" w:hint="default"/>
      </w:rPr>
    </w:lvl>
    <w:lvl w:ilvl="3" w:tplc="8FEA717A" w:tentative="1">
      <w:start w:val="1"/>
      <w:numFmt w:val="bullet"/>
      <w:lvlText w:val="-"/>
      <w:lvlJc w:val="left"/>
      <w:pPr>
        <w:tabs>
          <w:tab w:val="num" w:pos="2520"/>
        </w:tabs>
        <w:ind w:left="2520" w:hanging="360"/>
      </w:pPr>
      <w:rPr>
        <w:rFonts w:ascii="游ゴシック" w:hAnsi="游ゴシック" w:hint="default"/>
      </w:rPr>
    </w:lvl>
    <w:lvl w:ilvl="4" w:tplc="F8BCC906" w:tentative="1">
      <w:start w:val="1"/>
      <w:numFmt w:val="bullet"/>
      <w:lvlText w:val="-"/>
      <w:lvlJc w:val="left"/>
      <w:pPr>
        <w:tabs>
          <w:tab w:val="num" w:pos="3240"/>
        </w:tabs>
        <w:ind w:left="3240" w:hanging="360"/>
      </w:pPr>
      <w:rPr>
        <w:rFonts w:ascii="游ゴシック" w:hAnsi="游ゴシック" w:hint="default"/>
      </w:rPr>
    </w:lvl>
    <w:lvl w:ilvl="5" w:tplc="88489886" w:tentative="1">
      <w:start w:val="1"/>
      <w:numFmt w:val="bullet"/>
      <w:lvlText w:val="-"/>
      <w:lvlJc w:val="left"/>
      <w:pPr>
        <w:tabs>
          <w:tab w:val="num" w:pos="3960"/>
        </w:tabs>
        <w:ind w:left="3960" w:hanging="360"/>
      </w:pPr>
      <w:rPr>
        <w:rFonts w:ascii="游ゴシック" w:hAnsi="游ゴシック" w:hint="default"/>
      </w:rPr>
    </w:lvl>
    <w:lvl w:ilvl="6" w:tplc="E30A82EA" w:tentative="1">
      <w:start w:val="1"/>
      <w:numFmt w:val="bullet"/>
      <w:lvlText w:val="-"/>
      <w:lvlJc w:val="left"/>
      <w:pPr>
        <w:tabs>
          <w:tab w:val="num" w:pos="4680"/>
        </w:tabs>
        <w:ind w:left="4680" w:hanging="360"/>
      </w:pPr>
      <w:rPr>
        <w:rFonts w:ascii="游ゴシック" w:hAnsi="游ゴシック" w:hint="default"/>
      </w:rPr>
    </w:lvl>
    <w:lvl w:ilvl="7" w:tplc="B5B804BC" w:tentative="1">
      <w:start w:val="1"/>
      <w:numFmt w:val="bullet"/>
      <w:lvlText w:val="-"/>
      <w:lvlJc w:val="left"/>
      <w:pPr>
        <w:tabs>
          <w:tab w:val="num" w:pos="5400"/>
        </w:tabs>
        <w:ind w:left="5400" w:hanging="360"/>
      </w:pPr>
      <w:rPr>
        <w:rFonts w:ascii="游ゴシック" w:hAnsi="游ゴシック" w:hint="default"/>
      </w:rPr>
    </w:lvl>
    <w:lvl w:ilvl="8" w:tplc="FC9C8EEE" w:tentative="1">
      <w:start w:val="1"/>
      <w:numFmt w:val="bullet"/>
      <w:lvlText w:val="-"/>
      <w:lvlJc w:val="left"/>
      <w:pPr>
        <w:tabs>
          <w:tab w:val="num" w:pos="6120"/>
        </w:tabs>
        <w:ind w:left="6120" w:hanging="360"/>
      </w:pPr>
      <w:rPr>
        <w:rFonts w:ascii="游ゴシック" w:hAnsi="游ゴシック" w:hint="default"/>
      </w:rPr>
    </w:lvl>
  </w:abstractNum>
  <w:abstractNum w:abstractNumId="5" w15:restartNumberingAfterBreak="0">
    <w:nsid w:val="29666FB4"/>
    <w:multiLevelType w:val="hybridMultilevel"/>
    <w:tmpl w:val="5794409A"/>
    <w:lvl w:ilvl="0" w:tplc="A41EA314">
      <w:start w:val="2"/>
      <w:numFmt w:val="bullet"/>
      <w:lvlText w:val="-"/>
      <w:lvlJc w:val="left"/>
      <w:pPr>
        <w:ind w:left="420" w:hanging="420"/>
      </w:pPr>
      <w:rPr>
        <w:rFonts w:ascii="Arial" w:eastAsiaTheme="minorHAnsi"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DDD234F"/>
    <w:multiLevelType w:val="hybridMultilevel"/>
    <w:tmpl w:val="A9303176"/>
    <w:lvl w:ilvl="0" w:tplc="004EFED6">
      <w:start w:val="1"/>
      <w:numFmt w:val="bullet"/>
      <w:lvlText w:val="-"/>
      <w:lvlJc w:val="left"/>
      <w:pPr>
        <w:tabs>
          <w:tab w:val="num" w:pos="360"/>
        </w:tabs>
        <w:ind w:left="360" w:hanging="360"/>
      </w:pPr>
      <w:rPr>
        <w:rFonts w:ascii="游ゴシック" w:hAnsi="游ゴシック" w:hint="default"/>
      </w:rPr>
    </w:lvl>
    <w:lvl w:ilvl="1" w:tplc="019AC1EC">
      <w:start w:val="1"/>
      <w:numFmt w:val="bullet"/>
      <w:lvlText w:val="-"/>
      <w:lvlJc w:val="left"/>
      <w:pPr>
        <w:tabs>
          <w:tab w:val="num" w:pos="1080"/>
        </w:tabs>
        <w:ind w:left="1080" w:hanging="360"/>
      </w:pPr>
      <w:rPr>
        <w:rFonts w:ascii="游ゴシック" w:hAnsi="游ゴシック" w:hint="default"/>
      </w:rPr>
    </w:lvl>
    <w:lvl w:ilvl="2" w:tplc="367C8A52" w:tentative="1">
      <w:start w:val="1"/>
      <w:numFmt w:val="bullet"/>
      <w:lvlText w:val="-"/>
      <w:lvlJc w:val="left"/>
      <w:pPr>
        <w:tabs>
          <w:tab w:val="num" w:pos="1800"/>
        </w:tabs>
        <w:ind w:left="1800" w:hanging="360"/>
      </w:pPr>
      <w:rPr>
        <w:rFonts w:ascii="游ゴシック" w:hAnsi="游ゴシック" w:hint="default"/>
      </w:rPr>
    </w:lvl>
    <w:lvl w:ilvl="3" w:tplc="FCC01722" w:tentative="1">
      <w:start w:val="1"/>
      <w:numFmt w:val="bullet"/>
      <w:lvlText w:val="-"/>
      <w:lvlJc w:val="left"/>
      <w:pPr>
        <w:tabs>
          <w:tab w:val="num" w:pos="2520"/>
        </w:tabs>
        <w:ind w:left="2520" w:hanging="360"/>
      </w:pPr>
      <w:rPr>
        <w:rFonts w:ascii="游ゴシック" w:hAnsi="游ゴシック" w:hint="default"/>
      </w:rPr>
    </w:lvl>
    <w:lvl w:ilvl="4" w:tplc="FB14E2CC" w:tentative="1">
      <w:start w:val="1"/>
      <w:numFmt w:val="bullet"/>
      <w:lvlText w:val="-"/>
      <w:lvlJc w:val="left"/>
      <w:pPr>
        <w:tabs>
          <w:tab w:val="num" w:pos="3240"/>
        </w:tabs>
        <w:ind w:left="3240" w:hanging="360"/>
      </w:pPr>
      <w:rPr>
        <w:rFonts w:ascii="游ゴシック" w:hAnsi="游ゴシック" w:hint="default"/>
      </w:rPr>
    </w:lvl>
    <w:lvl w:ilvl="5" w:tplc="34449FFA" w:tentative="1">
      <w:start w:val="1"/>
      <w:numFmt w:val="bullet"/>
      <w:lvlText w:val="-"/>
      <w:lvlJc w:val="left"/>
      <w:pPr>
        <w:tabs>
          <w:tab w:val="num" w:pos="3960"/>
        </w:tabs>
        <w:ind w:left="3960" w:hanging="360"/>
      </w:pPr>
      <w:rPr>
        <w:rFonts w:ascii="游ゴシック" w:hAnsi="游ゴシック" w:hint="default"/>
      </w:rPr>
    </w:lvl>
    <w:lvl w:ilvl="6" w:tplc="E83AAA56" w:tentative="1">
      <w:start w:val="1"/>
      <w:numFmt w:val="bullet"/>
      <w:lvlText w:val="-"/>
      <w:lvlJc w:val="left"/>
      <w:pPr>
        <w:tabs>
          <w:tab w:val="num" w:pos="4680"/>
        </w:tabs>
        <w:ind w:left="4680" w:hanging="360"/>
      </w:pPr>
      <w:rPr>
        <w:rFonts w:ascii="游ゴシック" w:hAnsi="游ゴシック" w:hint="default"/>
      </w:rPr>
    </w:lvl>
    <w:lvl w:ilvl="7" w:tplc="441444BA" w:tentative="1">
      <w:start w:val="1"/>
      <w:numFmt w:val="bullet"/>
      <w:lvlText w:val="-"/>
      <w:lvlJc w:val="left"/>
      <w:pPr>
        <w:tabs>
          <w:tab w:val="num" w:pos="5400"/>
        </w:tabs>
        <w:ind w:left="5400" w:hanging="360"/>
      </w:pPr>
      <w:rPr>
        <w:rFonts w:ascii="游ゴシック" w:hAnsi="游ゴシック" w:hint="default"/>
      </w:rPr>
    </w:lvl>
    <w:lvl w:ilvl="8" w:tplc="F8CE8442" w:tentative="1">
      <w:start w:val="1"/>
      <w:numFmt w:val="bullet"/>
      <w:lvlText w:val="-"/>
      <w:lvlJc w:val="left"/>
      <w:pPr>
        <w:tabs>
          <w:tab w:val="num" w:pos="6120"/>
        </w:tabs>
        <w:ind w:left="6120" w:hanging="360"/>
      </w:pPr>
      <w:rPr>
        <w:rFonts w:ascii="游ゴシック" w:hAnsi="游ゴシック"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FE71A0"/>
    <w:multiLevelType w:val="hybridMultilevel"/>
    <w:tmpl w:val="E0A8241A"/>
    <w:lvl w:ilvl="0" w:tplc="004EFED6">
      <w:start w:val="1"/>
      <w:numFmt w:val="bullet"/>
      <w:lvlText w:val="-"/>
      <w:lvlJc w:val="left"/>
      <w:pPr>
        <w:ind w:left="420" w:hanging="420"/>
      </w:pPr>
      <w:rPr>
        <w:rFonts w:ascii="游ゴシック" w:hAnsi="游ゴシック" w:hint="default"/>
      </w:rPr>
    </w:lvl>
    <w:lvl w:ilvl="1" w:tplc="85DA7C5E">
      <w:numFmt w:val="bullet"/>
      <w:lvlText w:val="-"/>
      <w:lvlJc w:val="left"/>
      <w:pPr>
        <w:ind w:left="840" w:hanging="420"/>
      </w:pPr>
      <w:rPr>
        <w:rFonts w:ascii="Arial" w:eastAsia="ＭＳ 明朝" w:hAnsi="Arial" w:cs="Arial" w:hint="default"/>
        <w:color w:val="auto"/>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1" w15:restartNumberingAfterBreak="0">
    <w:nsid w:val="53441C31"/>
    <w:multiLevelType w:val="hybridMultilevel"/>
    <w:tmpl w:val="785012FA"/>
    <w:lvl w:ilvl="0" w:tplc="46B0369C">
      <w:start w:val="1"/>
      <w:numFmt w:val="bullet"/>
      <w:lvlText w:val="-"/>
      <w:lvlJc w:val="left"/>
      <w:pPr>
        <w:tabs>
          <w:tab w:val="num" w:pos="360"/>
        </w:tabs>
        <w:ind w:left="360" w:hanging="360"/>
      </w:pPr>
      <w:rPr>
        <w:rFonts w:ascii="游ゴシック" w:hAnsi="游ゴシック" w:hint="default"/>
      </w:rPr>
    </w:lvl>
    <w:lvl w:ilvl="1" w:tplc="7180DB64">
      <w:start w:val="1"/>
      <w:numFmt w:val="bullet"/>
      <w:lvlText w:val="-"/>
      <w:lvlJc w:val="left"/>
      <w:pPr>
        <w:tabs>
          <w:tab w:val="num" w:pos="1080"/>
        </w:tabs>
        <w:ind w:left="1080" w:hanging="360"/>
      </w:pPr>
      <w:rPr>
        <w:rFonts w:ascii="游ゴシック" w:hAnsi="游ゴシック" w:hint="default"/>
      </w:rPr>
    </w:lvl>
    <w:lvl w:ilvl="2" w:tplc="1D362AC4">
      <w:numFmt w:val="bullet"/>
      <w:lvlText w:val="-"/>
      <w:lvlJc w:val="left"/>
      <w:pPr>
        <w:tabs>
          <w:tab w:val="num" w:pos="1800"/>
        </w:tabs>
        <w:ind w:left="1800" w:hanging="360"/>
      </w:pPr>
      <w:rPr>
        <w:rFonts w:ascii="游ゴシック" w:hAnsi="游ゴシック" w:hint="default"/>
      </w:rPr>
    </w:lvl>
    <w:lvl w:ilvl="3" w:tplc="05A84C1C" w:tentative="1">
      <w:start w:val="1"/>
      <w:numFmt w:val="bullet"/>
      <w:lvlText w:val="-"/>
      <w:lvlJc w:val="left"/>
      <w:pPr>
        <w:tabs>
          <w:tab w:val="num" w:pos="2520"/>
        </w:tabs>
        <w:ind w:left="2520" w:hanging="360"/>
      </w:pPr>
      <w:rPr>
        <w:rFonts w:ascii="游ゴシック" w:hAnsi="游ゴシック" w:hint="default"/>
      </w:rPr>
    </w:lvl>
    <w:lvl w:ilvl="4" w:tplc="20861C78" w:tentative="1">
      <w:start w:val="1"/>
      <w:numFmt w:val="bullet"/>
      <w:lvlText w:val="-"/>
      <w:lvlJc w:val="left"/>
      <w:pPr>
        <w:tabs>
          <w:tab w:val="num" w:pos="3240"/>
        </w:tabs>
        <w:ind w:left="3240" w:hanging="360"/>
      </w:pPr>
      <w:rPr>
        <w:rFonts w:ascii="游ゴシック" w:hAnsi="游ゴシック" w:hint="default"/>
      </w:rPr>
    </w:lvl>
    <w:lvl w:ilvl="5" w:tplc="981027E2" w:tentative="1">
      <w:start w:val="1"/>
      <w:numFmt w:val="bullet"/>
      <w:lvlText w:val="-"/>
      <w:lvlJc w:val="left"/>
      <w:pPr>
        <w:tabs>
          <w:tab w:val="num" w:pos="3960"/>
        </w:tabs>
        <w:ind w:left="3960" w:hanging="360"/>
      </w:pPr>
      <w:rPr>
        <w:rFonts w:ascii="游ゴシック" w:hAnsi="游ゴシック" w:hint="default"/>
      </w:rPr>
    </w:lvl>
    <w:lvl w:ilvl="6" w:tplc="90BE3172" w:tentative="1">
      <w:start w:val="1"/>
      <w:numFmt w:val="bullet"/>
      <w:lvlText w:val="-"/>
      <w:lvlJc w:val="left"/>
      <w:pPr>
        <w:tabs>
          <w:tab w:val="num" w:pos="4680"/>
        </w:tabs>
        <w:ind w:left="4680" w:hanging="360"/>
      </w:pPr>
      <w:rPr>
        <w:rFonts w:ascii="游ゴシック" w:hAnsi="游ゴシック" w:hint="default"/>
      </w:rPr>
    </w:lvl>
    <w:lvl w:ilvl="7" w:tplc="2D0ED946" w:tentative="1">
      <w:start w:val="1"/>
      <w:numFmt w:val="bullet"/>
      <w:lvlText w:val="-"/>
      <w:lvlJc w:val="left"/>
      <w:pPr>
        <w:tabs>
          <w:tab w:val="num" w:pos="5400"/>
        </w:tabs>
        <w:ind w:left="5400" w:hanging="360"/>
      </w:pPr>
      <w:rPr>
        <w:rFonts w:ascii="游ゴシック" w:hAnsi="游ゴシック" w:hint="default"/>
      </w:rPr>
    </w:lvl>
    <w:lvl w:ilvl="8" w:tplc="0492C620" w:tentative="1">
      <w:start w:val="1"/>
      <w:numFmt w:val="bullet"/>
      <w:lvlText w:val="-"/>
      <w:lvlJc w:val="left"/>
      <w:pPr>
        <w:tabs>
          <w:tab w:val="num" w:pos="6120"/>
        </w:tabs>
        <w:ind w:left="6120" w:hanging="360"/>
      </w:pPr>
      <w:rPr>
        <w:rFonts w:ascii="游ゴシック" w:hAnsi="游ゴシック" w:hint="default"/>
      </w:rPr>
    </w:lvl>
  </w:abstractNum>
  <w:abstractNum w:abstractNumId="12" w15:restartNumberingAfterBreak="0">
    <w:nsid w:val="575A6E69"/>
    <w:multiLevelType w:val="hybridMultilevel"/>
    <w:tmpl w:val="080034B4"/>
    <w:lvl w:ilvl="0" w:tplc="616859DE">
      <w:start w:val="1"/>
      <w:numFmt w:val="bullet"/>
      <w:lvlText w:val="-"/>
      <w:lvlJc w:val="left"/>
      <w:pPr>
        <w:tabs>
          <w:tab w:val="num" w:pos="360"/>
        </w:tabs>
        <w:ind w:left="360" w:hanging="360"/>
      </w:pPr>
      <w:rPr>
        <w:rFonts w:ascii="游ゴシック" w:hAnsi="游ゴシック" w:hint="default"/>
      </w:rPr>
    </w:lvl>
    <w:lvl w:ilvl="1" w:tplc="FB12754C">
      <w:start w:val="1"/>
      <w:numFmt w:val="bullet"/>
      <w:lvlText w:val="-"/>
      <w:lvlJc w:val="left"/>
      <w:pPr>
        <w:tabs>
          <w:tab w:val="num" w:pos="1080"/>
        </w:tabs>
        <w:ind w:left="1080" w:hanging="360"/>
      </w:pPr>
      <w:rPr>
        <w:rFonts w:ascii="游ゴシック" w:hAnsi="游ゴシック" w:hint="default"/>
      </w:rPr>
    </w:lvl>
    <w:lvl w:ilvl="2" w:tplc="533EFCBC" w:tentative="1">
      <w:start w:val="1"/>
      <w:numFmt w:val="bullet"/>
      <w:lvlText w:val="-"/>
      <w:lvlJc w:val="left"/>
      <w:pPr>
        <w:tabs>
          <w:tab w:val="num" w:pos="1800"/>
        </w:tabs>
        <w:ind w:left="1800" w:hanging="360"/>
      </w:pPr>
      <w:rPr>
        <w:rFonts w:ascii="游ゴシック" w:hAnsi="游ゴシック" w:hint="default"/>
      </w:rPr>
    </w:lvl>
    <w:lvl w:ilvl="3" w:tplc="7FDA7548" w:tentative="1">
      <w:start w:val="1"/>
      <w:numFmt w:val="bullet"/>
      <w:lvlText w:val="-"/>
      <w:lvlJc w:val="left"/>
      <w:pPr>
        <w:tabs>
          <w:tab w:val="num" w:pos="2520"/>
        </w:tabs>
        <w:ind w:left="2520" w:hanging="360"/>
      </w:pPr>
      <w:rPr>
        <w:rFonts w:ascii="游ゴシック" w:hAnsi="游ゴシック" w:hint="default"/>
      </w:rPr>
    </w:lvl>
    <w:lvl w:ilvl="4" w:tplc="BA14002A" w:tentative="1">
      <w:start w:val="1"/>
      <w:numFmt w:val="bullet"/>
      <w:lvlText w:val="-"/>
      <w:lvlJc w:val="left"/>
      <w:pPr>
        <w:tabs>
          <w:tab w:val="num" w:pos="3240"/>
        </w:tabs>
        <w:ind w:left="3240" w:hanging="360"/>
      </w:pPr>
      <w:rPr>
        <w:rFonts w:ascii="游ゴシック" w:hAnsi="游ゴシック" w:hint="default"/>
      </w:rPr>
    </w:lvl>
    <w:lvl w:ilvl="5" w:tplc="AB4293EE" w:tentative="1">
      <w:start w:val="1"/>
      <w:numFmt w:val="bullet"/>
      <w:lvlText w:val="-"/>
      <w:lvlJc w:val="left"/>
      <w:pPr>
        <w:tabs>
          <w:tab w:val="num" w:pos="3960"/>
        </w:tabs>
        <w:ind w:left="3960" w:hanging="360"/>
      </w:pPr>
      <w:rPr>
        <w:rFonts w:ascii="游ゴシック" w:hAnsi="游ゴシック" w:hint="default"/>
      </w:rPr>
    </w:lvl>
    <w:lvl w:ilvl="6" w:tplc="A22C0A26" w:tentative="1">
      <w:start w:val="1"/>
      <w:numFmt w:val="bullet"/>
      <w:lvlText w:val="-"/>
      <w:lvlJc w:val="left"/>
      <w:pPr>
        <w:tabs>
          <w:tab w:val="num" w:pos="4680"/>
        </w:tabs>
        <w:ind w:left="4680" w:hanging="360"/>
      </w:pPr>
      <w:rPr>
        <w:rFonts w:ascii="游ゴシック" w:hAnsi="游ゴシック" w:hint="default"/>
      </w:rPr>
    </w:lvl>
    <w:lvl w:ilvl="7" w:tplc="AB84897E" w:tentative="1">
      <w:start w:val="1"/>
      <w:numFmt w:val="bullet"/>
      <w:lvlText w:val="-"/>
      <w:lvlJc w:val="left"/>
      <w:pPr>
        <w:tabs>
          <w:tab w:val="num" w:pos="5400"/>
        </w:tabs>
        <w:ind w:left="5400" w:hanging="360"/>
      </w:pPr>
      <w:rPr>
        <w:rFonts w:ascii="游ゴシック" w:hAnsi="游ゴシック" w:hint="default"/>
      </w:rPr>
    </w:lvl>
    <w:lvl w:ilvl="8" w:tplc="1B863796" w:tentative="1">
      <w:start w:val="1"/>
      <w:numFmt w:val="bullet"/>
      <w:lvlText w:val="-"/>
      <w:lvlJc w:val="left"/>
      <w:pPr>
        <w:tabs>
          <w:tab w:val="num" w:pos="6120"/>
        </w:tabs>
        <w:ind w:left="6120" w:hanging="360"/>
      </w:pPr>
      <w:rPr>
        <w:rFonts w:ascii="游ゴシック" w:hAnsi="游ゴシック" w:hint="default"/>
      </w:rPr>
    </w:lvl>
  </w:abstractNum>
  <w:abstractNum w:abstractNumId="13" w15:restartNumberingAfterBreak="0">
    <w:nsid w:val="593D510E"/>
    <w:multiLevelType w:val="hybridMultilevel"/>
    <w:tmpl w:val="B12695FE"/>
    <w:lvl w:ilvl="0" w:tplc="CBFC201A">
      <w:start w:val="1"/>
      <w:numFmt w:val="decimal"/>
      <w:lvlText w:val="[%1] "/>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B240F29"/>
    <w:multiLevelType w:val="hybridMultilevel"/>
    <w:tmpl w:val="A050933C"/>
    <w:lvl w:ilvl="0" w:tplc="CEF2D0D8">
      <w:start w:val="1"/>
      <w:numFmt w:val="bullet"/>
      <w:lvlText w:val="-"/>
      <w:lvlJc w:val="left"/>
      <w:pPr>
        <w:tabs>
          <w:tab w:val="num" w:pos="360"/>
        </w:tabs>
        <w:ind w:left="360" w:hanging="360"/>
      </w:pPr>
      <w:rPr>
        <w:rFonts w:ascii="游ゴシック" w:hAnsi="游ゴシック" w:hint="default"/>
      </w:rPr>
    </w:lvl>
    <w:lvl w:ilvl="1" w:tplc="8EBC66A0">
      <w:start w:val="1"/>
      <w:numFmt w:val="bullet"/>
      <w:lvlText w:val="-"/>
      <w:lvlJc w:val="left"/>
      <w:pPr>
        <w:tabs>
          <w:tab w:val="num" w:pos="1080"/>
        </w:tabs>
        <w:ind w:left="1080" w:hanging="360"/>
      </w:pPr>
      <w:rPr>
        <w:rFonts w:ascii="游ゴシック" w:hAnsi="游ゴシック" w:hint="default"/>
      </w:rPr>
    </w:lvl>
    <w:lvl w:ilvl="2" w:tplc="6AF00898" w:tentative="1">
      <w:start w:val="1"/>
      <w:numFmt w:val="bullet"/>
      <w:lvlText w:val="-"/>
      <w:lvlJc w:val="left"/>
      <w:pPr>
        <w:tabs>
          <w:tab w:val="num" w:pos="1800"/>
        </w:tabs>
        <w:ind w:left="1800" w:hanging="360"/>
      </w:pPr>
      <w:rPr>
        <w:rFonts w:ascii="游ゴシック" w:hAnsi="游ゴシック" w:hint="default"/>
      </w:rPr>
    </w:lvl>
    <w:lvl w:ilvl="3" w:tplc="0A5A6BFC" w:tentative="1">
      <w:start w:val="1"/>
      <w:numFmt w:val="bullet"/>
      <w:lvlText w:val="-"/>
      <w:lvlJc w:val="left"/>
      <w:pPr>
        <w:tabs>
          <w:tab w:val="num" w:pos="2520"/>
        </w:tabs>
        <w:ind w:left="2520" w:hanging="360"/>
      </w:pPr>
      <w:rPr>
        <w:rFonts w:ascii="游ゴシック" w:hAnsi="游ゴシック" w:hint="default"/>
      </w:rPr>
    </w:lvl>
    <w:lvl w:ilvl="4" w:tplc="4202ABE6" w:tentative="1">
      <w:start w:val="1"/>
      <w:numFmt w:val="bullet"/>
      <w:lvlText w:val="-"/>
      <w:lvlJc w:val="left"/>
      <w:pPr>
        <w:tabs>
          <w:tab w:val="num" w:pos="3240"/>
        </w:tabs>
        <w:ind w:left="3240" w:hanging="360"/>
      </w:pPr>
      <w:rPr>
        <w:rFonts w:ascii="游ゴシック" w:hAnsi="游ゴシック" w:hint="default"/>
      </w:rPr>
    </w:lvl>
    <w:lvl w:ilvl="5" w:tplc="1BC24494" w:tentative="1">
      <w:start w:val="1"/>
      <w:numFmt w:val="bullet"/>
      <w:lvlText w:val="-"/>
      <w:lvlJc w:val="left"/>
      <w:pPr>
        <w:tabs>
          <w:tab w:val="num" w:pos="3960"/>
        </w:tabs>
        <w:ind w:left="3960" w:hanging="360"/>
      </w:pPr>
      <w:rPr>
        <w:rFonts w:ascii="游ゴシック" w:hAnsi="游ゴシック" w:hint="default"/>
      </w:rPr>
    </w:lvl>
    <w:lvl w:ilvl="6" w:tplc="5CC0B120" w:tentative="1">
      <w:start w:val="1"/>
      <w:numFmt w:val="bullet"/>
      <w:lvlText w:val="-"/>
      <w:lvlJc w:val="left"/>
      <w:pPr>
        <w:tabs>
          <w:tab w:val="num" w:pos="4680"/>
        </w:tabs>
        <w:ind w:left="4680" w:hanging="360"/>
      </w:pPr>
      <w:rPr>
        <w:rFonts w:ascii="游ゴシック" w:hAnsi="游ゴシック" w:hint="default"/>
      </w:rPr>
    </w:lvl>
    <w:lvl w:ilvl="7" w:tplc="CA8600A0" w:tentative="1">
      <w:start w:val="1"/>
      <w:numFmt w:val="bullet"/>
      <w:lvlText w:val="-"/>
      <w:lvlJc w:val="left"/>
      <w:pPr>
        <w:tabs>
          <w:tab w:val="num" w:pos="5400"/>
        </w:tabs>
        <w:ind w:left="5400" w:hanging="360"/>
      </w:pPr>
      <w:rPr>
        <w:rFonts w:ascii="游ゴシック" w:hAnsi="游ゴシック" w:hint="default"/>
      </w:rPr>
    </w:lvl>
    <w:lvl w:ilvl="8" w:tplc="384665AC" w:tentative="1">
      <w:start w:val="1"/>
      <w:numFmt w:val="bullet"/>
      <w:lvlText w:val="-"/>
      <w:lvlJc w:val="left"/>
      <w:pPr>
        <w:tabs>
          <w:tab w:val="num" w:pos="6120"/>
        </w:tabs>
        <w:ind w:left="6120" w:hanging="360"/>
      </w:pPr>
      <w:rPr>
        <w:rFonts w:ascii="游ゴシック" w:hAnsi="游ゴシック" w:hint="default"/>
      </w:rPr>
    </w:lvl>
  </w:abstractNum>
  <w:abstractNum w:abstractNumId="16" w15:restartNumberingAfterBreak="0">
    <w:nsid w:val="705B31EC"/>
    <w:multiLevelType w:val="hybridMultilevel"/>
    <w:tmpl w:val="BA82BF74"/>
    <w:lvl w:ilvl="0" w:tplc="71702F7E">
      <w:start w:val="1"/>
      <w:numFmt w:val="bullet"/>
      <w:lvlText w:val="-"/>
      <w:lvlJc w:val="left"/>
      <w:pPr>
        <w:tabs>
          <w:tab w:val="num" w:pos="360"/>
        </w:tabs>
        <w:ind w:left="360" w:hanging="360"/>
      </w:pPr>
      <w:rPr>
        <w:rFonts w:ascii="游ゴシック" w:hAnsi="游ゴシック" w:hint="default"/>
      </w:rPr>
    </w:lvl>
    <w:lvl w:ilvl="1" w:tplc="4F6EA790">
      <w:start w:val="1"/>
      <w:numFmt w:val="bullet"/>
      <w:lvlText w:val="-"/>
      <w:lvlJc w:val="left"/>
      <w:pPr>
        <w:tabs>
          <w:tab w:val="num" w:pos="1080"/>
        </w:tabs>
        <w:ind w:left="1080" w:hanging="360"/>
      </w:pPr>
      <w:rPr>
        <w:rFonts w:ascii="游ゴシック" w:hAnsi="游ゴシック" w:hint="default"/>
      </w:rPr>
    </w:lvl>
    <w:lvl w:ilvl="2" w:tplc="D04C9E68">
      <w:numFmt w:val="bullet"/>
      <w:lvlText w:val="-"/>
      <w:lvlJc w:val="left"/>
      <w:pPr>
        <w:tabs>
          <w:tab w:val="num" w:pos="1800"/>
        </w:tabs>
        <w:ind w:left="1800" w:hanging="360"/>
      </w:pPr>
      <w:rPr>
        <w:rFonts w:ascii="游ゴシック" w:hAnsi="游ゴシック" w:hint="default"/>
      </w:rPr>
    </w:lvl>
    <w:lvl w:ilvl="3" w:tplc="90904D80" w:tentative="1">
      <w:start w:val="1"/>
      <w:numFmt w:val="bullet"/>
      <w:lvlText w:val="-"/>
      <w:lvlJc w:val="left"/>
      <w:pPr>
        <w:tabs>
          <w:tab w:val="num" w:pos="2520"/>
        </w:tabs>
        <w:ind w:left="2520" w:hanging="360"/>
      </w:pPr>
      <w:rPr>
        <w:rFonts w:ascii="游ゴシック" w:hAnsi="游ゴシック" w:hint="default"/>
      </w:rPr>
    </w:lvl>
    <w:lvl w:ilvl="4" w:tplc="8DA6B8C6" w:tentative="1">
      <w:start w:val="1"/>
      <w:numFmt w:val="bullet"/>
      <w:lvlText w:val="-"/>
      <w:lvlJc w:val="left"/>
      <w:pPr>
        <w:tabs>
          <w:tab w:val="num" w:pos="3240"/>
        </w:tabs>
        <w:ind w:left="3240" w:hanging="360"/>
      </w:pPr>
      <w:rPr>
        <w:rFonts w:ascii="游ゴシック" w:hAnsi="游ゴシック" w:hint="default"/>
      </w:rPr>
    </w:lvl>
    <w:lvl w:ilvl="5" w:tplc="3668C540" w:tentative="1">
      <w:start w:val="1"/>
      <w:numFmt w:val="bullet"/>
      <w:lvlText w:val="-"/>
      <w:lvlJc w:val="left"/>
      <w:pPr>
        <w:tabs>
          <w:tab w:val="num" w:pos="3960"/>
        </w:tabs>
        <w:ind w:left="3960" w:hanging="360"/>
      </w:pPr>
      <w:rPr>
        <w:rFonts w:ascii="游ゴシック" w:hAnsi="游ゴシック" w:hint="default"/>
      </w:rPr>
    </w:lvl>
    <w:lvl w:ilvl="6" w:tplc="E1AE8DF6" w:tentative="1">
      <w:start w:val="1"/>
      <w:numFmt w:val="bullet"/>
      <w:lvlText w:val="-"/>
      <w:lvlJc w:val="left"/>
      <w:pPr>
        <w:tabs>
          <w:tab w:val="num" w:pos="4680"/>
        </w:tabs>
        <w:ind w:left="4680" w:hanging="360"/>
      </w:pPr>
      <w:rPr>
        <w:rFonts w:ascii="游ゴシック" w:hAnsi="游ゴシック" w:hint="default"/>
      </w:rPr>
    </w:lvl>
    <w:lvl w:ilvl="7" w:tplc="B2806D6A" w:tentative="1">
      <w:start w:val="1"/>
      <w:numFmt w:val="bullet"/>
      <w:lvlText w:val="-"/>
      <w:lvlJc w:val="left"/>
      <w:pPr>
        <w:tabs>
          <w:tab w:val="num" w:pos="5400"/>
        </w:tabs>
        <w:ind w:left="5400" w:hanging="360"/>
      </w:pPr>
      <w:rPr>
        <w:rFonts w:ascii="游ゴシック" w:hAnsi="游ゴシック" w:hint="default"/>
      </w:rPr>
    </w:lvl>
    <w:lvl w:ilvl="8" w:tplc="D6841A4C" w:tentative="1">
      <w:start w:val="1"/>
      <w:numFmt w:val="bullet"/>
      <w:lvlText w:val="-"/>
      <w:lvlJc w:val="left"/>
      <w:pPr>
        <w:tabs>
          <w:tab w:val="num" w:pos="6120"/>
        </w:tabs>
        <w:ind w:left="6120" w:hanging="360"/>
      </w:pPr>
      <w:rPr>
        <w:rFonts w:ascii="游ゴシック" w:hAnsi="游ゴシック" w:hint="default"/>
      </w:rPr>
    </w:lvl>
  </w:abstractNum>
  <w:abstractNum w:abstractNumId="17"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4EF4D0B"/>
    <w:multiLevelType w:val="multilevel"/>
    <w:tmpl w:val="74EF4D0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num w:numId="1" w16cid:durableId="14290383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07018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623605">
    <w:abstractNumId w:val="3"/>
  </w:num>
  <w:num w:numId="4" w16cid:durableId="822310228">
    <w:abstractNumId w:val="8"/>
  </w:num>
  <w:num w:numId="5" w16cid:durableId="399594124">
    <w:abstractNumId w:val="1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3774362">
    <w:abstractNumId w:val="14"/>
  </w:num>
  <w:num w:numId="7" w16cid:durableId="112024551">
    <w:abstractNumId w:val="17"/>
  </w:num>
  <w:num w:numId="8" w16cid:durableId="1591693127">
    <w:abstractNumId w:val="7"/>
  </w:num>
  <w:num w:numId="9" w16cid:durableId="1660227328">
    <w:abstractNumId w:val="6"/>
  </w:num>
  <w:num w:numId="10" w16cid:durableId="314069190">
    <w:abstractNumId w:val="12"/>
  </w:num>
  <w:num w:numId="11" w16cid:durableId="311911740">
    <w:abstractNumId w:val="4"/>
  </w:num>
  <w:num w:numId="12" w16cid:durableId="1811552990">
    <w:abstractNumId w:val="15"/>
  </w:num>
  <w:num w:numId="13" w16cid:durableId="1903055958">
    <w:abstractNumId w:val="16"/>
  </w:num>
  <w:num w:numId="14" w16cid:durableId="636110628">
    <w:abstractNumId w:val="11"/>
  </w:num>
  <w:num w:numId="15" w16cid:durableId="1819180261">
    <w:abstractNumId w:val="1"/>
  </w:num>
  <w:num w:numId="16" w16cid:durableId="1963801829">
    <w:abstractNumId w:val="9"/>
  </w:num>
  <w:num w:numId="17" w16cid:durableId="1009020099">
    <w:abstractNumId w:val="0"/>
  </w:num>
  <w:num w:numId="18" w16cid:durableId="834608999">
    <w:abstractNumId w:val="18"/>
  </w:num>
  <w:num w:numId="19" w16cid:durableId="1992715228">
    <w:abstractNumId w:val="13"/>
  </w:num>
  <w:num w:numId="20" w16cid:durableId="162938784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28F"/>
    <w:rsid w:val="000018A5"/>
    <w:rsid w:val="000221B0"/>
    <w:rsid w:val="00022F43"/>
    <w:rsid w:val="000233A9"/>
    <w:rsid w:val="00023DE8"/>
    <w:rsid w:val="00025DD1"/>
    <w:rsid w:val="0002651F"/>
    <w:rsid w:val="00030AB0"/>
    <w:rsid w:val="00032026"/>
    <w:rsid w:val="00035899"/>
    <w:rsid w:val="000419B6"/>
    <w:rsid w:val="0004321E"/>
    <w:rsid w:val="00044DAF"/>
    <w:rsid w:val="00047848"/>
    <w:rsid w:val="000603AB"/>
    <w:rsid w:val="00062332"/>
    <w:rsid w:val="0006275E"/>
    <w:rsid w:val="00063000"/>
    <w:rsid w:val="00064551"/>
    <w:rsid w:val="00065571"/>
    <w:rsid w:val="000700A1"/>
    <w:rsid w:val="0007486D"/>
    <w:rsid w:val="000753EB"/>
    <w:rsid w:val="00081C08"/>
    <w:rsid w:val="0008205E"/>
    <w:rsid w:val="0008349F"/>
    <w:rsid w:val="0008461A"/>
    <w:rsid w:val="000854A2"/>
    <w:rsid w:val="00092D05"/>
    <w:rsid w:val="0009378D"/>
    <w:rsid w:val="00097511"/>
    <w:rsid w:val="000A12A5"/>
    <w:rsid w:val="000A6068"/>
    <w:rsid w:val="000A60B6"/>
    <w:rsid w:val="000A6130"/>
    <w:rsid w:val="000B0740"/>
    <w:rsid w:val="000B1445"/>
    <w:rsid w:val="000B4CD8"/>
    <w:rsid w:val="000C0376"/>
    <w:rsid w:val="000C3E07"/>
    <w:rsid w:val="000C6B28"/>
    <w:rsid w:val="000D0AE1"/>
    <w:rsid w:val="000D66A7"/>
    <w:rsid w:val="000F5C38"/>
    <w:rsid w:val="00103C37"/>
    <w:rsid w:val="00107EE4"/>
    <w:rsid w:val="00110FDF"/>
    <w:rsid w:val="0011268A"/>
    <w:rsid w:val="0012445F"/>
    <w:rsid w:val="00124986"/>
    <w:rsid w:val="001354E0"/>
    <w:rsid w:val="00141997"/>
    <w:rsid w:val="00141E3D"/>
    <w:rsid w:val="00145F15"/>
    <w:rsid w:val="00160115"/>
    <w:rsid w:val="00167D33"/>
    <w:rsid w:val="00167D61"/>
    <w:rsid w:val="0017053D"/>
    <w:rsid w:val="00181C70"/>
    <w:rsid w:val="00181F64"/>
    <w:rsid w:val="001830DB"/>
    <w:rsid w:val="0018737B"/>
    <w:rsid w:val="00191FC5"/>
    <w:rsid w:val="0019478E"/>
    <w:rsid w:val="001A04FF"/>
    <w:rsid w:val="001A32B8"/>
    <w:rsid w:val="001C2167"/>
    <w:rsid w:val="001D216D"/>
    <w:rsid w:val="001D5642"/>
    <w:rsid w:val="001E2963"/>
    <w:rsid w:val="001E4E3F"/>
    <w:rsid w:val="001E693E"/>
    <w:rsid w:val="001E6D6B"/>
    <w:rsid w:val="001F2004"/>
    <w:rsid w:val="001F2DF6"/>
    <w:rsid w:val="001F30AD"/>
    <w:rsid w:val="00201983"/>
    <w:rsid w:val="00206817"/>
    <w:rsid w:val="00206922"/>
    <w:rsid w:val="00211B0D"/>
    <w:rsid w:val="0021404B"/>
    <w:rsid w:val="00217AA4"/>
    <w:rsid w:val="00220F12"/>
    <w:rsid w:val="002249B2"/>
    <w:rsid w:val="00227003"/>
    <w:rsid w:val="00230CF5"/>
    <w:rsid w:val="0024593E"/>
    <w:rsid w:val="002535B1"/>
    <w:rsid w:val="00254148"/>
    <w:rsid w:val="0025666C"/>
    <w:rsid w:val="002570D1"/>
    <w:rsid w:val="00264F35"/>
    <w:rsid w:val="00265FEB"/>
    <w:rsid w:val="00267F2A"/>
    <w:rsid w:val="0027264B"/>
    <w:rsid w:val="00293C3F"/>
    <w:rsid w:val="002A0294"/>
    <w:rsid w:val="002A43B0"/>
    <w:rsid w:val="002B57B7"/>
    <w:rsid w:val="002C11DE"/>
    <w:rsid w:val="002C1263"/>
    <w:rsid w:val="002C14F7"/>
    <w:rsid w:val="002C2809"/>
    <w:rsid w:val="002D1697"/>
    <w:rsid w:val="002D2697"/>
    <w:rsid w:val="002D598C"/>
    <w:rsid w:val="002E7540"/>
    <w:rsid w:val="002E7CD6"/>
    <w:rsid w:val="002F1641"/>
    <w:rsid w:val="002F37B4"/>
    <w:rsid w:val="002F474E"/>
    <w:rsid w:val="002F49F1"/>
    <w:rsid w:val="002F58B4"/>
    <w:rsid w:val="00304621"/>
    <w:rsid w:val="00312AD5"/>
    <w:rsid w:val="00312D5E"/>
    <w:rsid w:val="003130DC"/>
    <w:rsid w:val="003160B5"/>
    <w:rsid w:val="00316DF2"/>
    <w:rsid w:val="003223A8"/>
    <w:rsid w:val="00326C4C"/>
    <w:rsid w:val="00327AAA"/>
    <w:rsid w:val="00330A6B"/>
    <w:rsid w:val="00334991"/>
    <w:rsid w:val="003448BF"/>
    <w:rsid w:val="00345B46"/>
    <w:rsid w:val="00356186"/>
    <w:rsid w:val="003607F4"/>
    <w:rsid w:val="00361434"/>
    <w:rsid w:val="003632AA"/>
    <w:rsid w:val="0036431C"/>
    <w:rsid w:val="00370895"/>
    <w:rsid w:val="00372905"/>
    <w:rsid w:val="0037511F"/>
    <w:rsid w:val="0038131B"/>
    <w:rsid w:val="00381DBD"/>
    <w:rsid w:val="00391FB9"/>
    <w:rsid w:val="003A048A"/>
    <w:rsid w:val="003A3524"/>
    <w:rsid w:val="003A44B1"/>
    <w:rsid w:val="003A7E96"/>
    <w:rsid w:val="003B7FBB"/>
    <w:rsid w:val="003C1FBC"/>
    <w:rsid w:val="003D1AF8"/>
    <w:rsid w:val="003D2B59"/>
    <w:rsid w:val="003D34A1"/>
    <w:rsid w:val="003E04C7"/>
    <w:rsid w:val="003E5ECC"/>
    <w:rsid w:val="003F0547"/>
    <w:rsid w:val="003F48F4"/>
    <w:rsid w:val="003F670F"/>
    <w:rsid w:val="00402586"/>
    <w:rsid w:val="00403E15"/>
    <w:rsid w:val="004070A2"/>
    <w:rsid w:val="004137D3"/>
    <w:rsid w:val="00413CAB"/>
    <w:rsid w:val="00421DA1"/>
    <w:rsid w:val="00421E06"/>
    <w:rsid w:val="00423A3A"/>
    <w:rsid w:val="00423FC1"/>
    <w:rsid w:val="004245F1"/>
    <w:rsid w:val="004262D8"/>
    <w:rsid w:val="00437180"/>
    <w:rsid w:val="0044204B"/>
    <w:rsid w:val="00447167"/>
    <w:rsid w:val="00462288"/>
    <w:rsid w:val="00464557"/>
    <w:rsid w:val="00465E5B"/>
    <w:rsid w:val="00471058"/>
    <w:rsid w:val="004738E1"/>
    <w:rsid w:val="00485877"/>
    <w:rsid w:val="00485AE0"/>
    <w:rsid w:val="00487FBE"/>
    <w:rsid w:val="004938DC"/>
    <w:rsid w:val="004A791B"/>
    <w:rsid w:val="004A7B16"/>
    <w:rsid w:val="004B50DE"/>
    <w:rsid w:val="004C131C"/>
    <w:rsid w:val="004C1572"/>
    <w:rsid w:val="004D0B36"/>
    <w:rsid w:val="004D4717"/>
    <w:rsid w:val="004D5863"/>
    <w:rsid w:val="004E2825"/>
    <w:rsid w:val="004E4009"/>
    <w:rsid w:val="004E71C2"/>
    <w:rsid w:val="0050048F"/>
    <w:rsid w:val="00501E1F"/>
    <w:rsid w:val="0050327A"/>
    <w:rsid w:val="005062D0"/>
    <w:rsid w:val="00510597"/>
    <w:rsid w:val="00514453"/>
    <w:rsid w:val="00516B63"/>
    <w:rsid w:val="00521725"/>
    <w:rsid w:val="0052340A"/>
    <w:rsid w:val="00523D1C"/>
    <w:rsid w:val="00537749"/>
    <w:rsid w:val="0053791D"/>
    <w:rsid w:val="00537E7D"/>
    <w:rsid w:val="00542449"/>
    <w:rsid w:val="005462C1"/>
    <w:rsid w:val="00550795"/>
    <w:rsid w:val="005523D3"/>
    <w:rsid w:val="005538D2"/>
    <w:rsid w:val="00554527"/>
    <w:rsid w:val="00571268"/>
    <w:rsid w:val="00576896"/>
    <w:rsid w:val="00587C68"/>
    <w:rsid w:val="00592A06"/>
    <w:rsid w:val="00595267"/>
    <w:rsid w:val="005956A0"/>
    <w:rsid w:val="005966EA"/>
    <w:rsid w:val="005A2C67"/>
    <w:rsid w:val="005A3798"/>
    <w:rsid w:val="005A77A7"/>
    <w:rsid w:val="005B77C7"/>
    <w:rsid w:val="005C3920"/>
    <w:rsid w:val="005C72E3"/>
    <w:rsid w:val="005D1D51"/>
    <w:rsid w:val="005D4A07"/>
    <w:rsid w:val="005D59DC"/>
    <w:rsid w:val="005E59E8"/>
    <w:rsid w:val="005E715C"/>
    <w:rsid w:val="005F3614"/>
    <w:rsid w:val="005F466B"/>
    <w:rsid w:val="00600980"/>
    <w:rsid w:val="00603EAF"/>
    <w:rsid w:val="00606D0B"/>
    <w:rsid w:val="006132FF"/>
    <w:rsid w:val="0061342F"/>
    <w:rsid w:val="006212C9"/>
    <w:rsid w:val="00625B88"/>
    <w:rsid w:val="00627A28"/>
    <w:rsid w:val="00636F2A"/>
    <w:rsid w:val="006552FF"/>
    <w:rsid w:val="006618A6"/>
    <w:rsid w:val="00673EC3"/>
    <w:rsid w:val="00674D28"/>
    <w:rsid w:val="00681010"/>
    <w:rsid w:val="00681784"/>
    <w:rsid w:val="006847E9"/>
    <w:rsid w:val="006867A1"/>
    <w:rsid w:val="0069038E"/>
    <w:rsid w:val="0069410D"/>
    <w:rsid w:val="006A33E6"/>
    <w:rsid w:val="006A3C5B"/>
    <w:rsid w:val="006A412F"/>
    <w:rsid w:val="006A5ABC"/>
    <w:rsid w:val="006B79DC"/>
    <w:rsid w:val="006C3326"/>
    <w:rsid w:val="006C5C4D"/>
    <w:rsid w:val="006D0ED1"/>
    <w:rsid w:val="006E081A"/>
    <w:rsid w:val="006F25FE"/>
    <w:rsid w:val="006F3326"/>
    <w:rsid w:val="006F4E0A"/>
    <w:rsid w:val="006F6F57"/>
    <w:rsid w:val="0071427C"/>
    <w:rsid w:val="0071467F"/>
    <w:rsid w:val="00716F14"/>
    <w:rsid w:val="00720A2A"/>
    <w:rsid w:val="00722892"/>
    <w:rsid w:val="00723DFA"/>
    <w:rsid w:val="00724678"/>
    <w:rsid w:val="0072726E"/>
    <w:rsid w:val="00731F15"/>
    <w:rsid w:val="007341EB"/>
    <w:rsid w:val="00735C26"/>
    <w:rsid w:val="00742984"/>
    <w:rsid w:val="00743BDF"/>
    <w:rsid w:val="007502AF"/>
    <w:rsid w:val="00750786"/>
    <w:rsid w:val="007569EA"/>
    <w:rsid w:val="00756D1E"/>
    <w:rsid w:val="007573D3"/>
    <w:rsid w:val="0076258F"/>
    <w:rsid w:val="00773DFB"/>
    <w:rsid w:val="00776296"/>
    <w:rsid w:val="00777363"/>
    <w:rsid w:val="00780CCA"/>
    <w:rsid w:val="00785311"/>
    <w:rsid w:val="00790AD0"/>
    <w:rsid w:val="0079422F"/>
    <w:rsid w:val="007952F9"/>
    <w:rsid w:val="00797E47"/>
    <w:rsid w:val="007A4DE2"/>
    <w:rsid w:val="007A58D8"/>
    <w:rsid w:val="007A6F6B"/>
    <w:rsid w:val="007B21EC"/>
    <w:rsid w:val="007B38DB"/>
    <w:rsid w:val="007B4C8D"/>
    <w:rsid w:val="007B52A6"/>
    <w:rsid w:val="007B5AF9"/>
    <w:rsid w:val="007B7FCB"/>
    <w:rsid w:val="007C7123"/>
    <w:rsid w:val="007D23C2"/>
    <w:rsid w:val="007D2D24"/>
    <w:rsid w:val="007D43BF"/>
    <w:rsid w:val="007D65AA"/>
    <w:rsid w:val="007E0D0E"/>
    <w:rsid w:val="007E30E2"/>
    <w:rsid w:val="007E73F2"/>
    <w:rsid w:val="007F1BCE"/>
    <w:rsid w:val="007F53CA"/>
    <w:rsid w:val="007F60DB"/>
    <w:rsid w:val="00803213"/>
    <w:rsid w:val="00806A0A"/>
    <w:rsid w:val="00821FDD"/>
    <w:rsid w:val="00830588"/>
    <w:rsid w:val="0083428B"/>
    <w:rsid w:val="008414E9"/>
    <w:rsid w:val="00841619"/>
    <w:rsid w:val="00842D2D"/>
    <w:rsid w:val="0084761E"/>
    <w:rsid w:val="0085247D"/>
    <w:rsid w:val="00853FE0"/>
    <w:rsid w:val="00854C81"/>
    <w:rsid w:val="008564E0"/>
    <w:rsid w:val="00860E8F"/>
    <w:rsid w:val="00870AF8"/>
    <w:rsid w:val="00872677"/>
    <w:rsid w:val="0087497D"/>
    <w:rsid w:val="008758B7"/>
    <w:rsid w:val="00884F5F"/>
    <w:rsid w:val="0089019E"/>
    <w:rsid w:val="0089523D"/>
    <w:rsid w:val="00896612"/>
    <w:rsid w:val="008A0DBB"/>
    <w:rsid w:val="008A4147"/>
    <w:rsid w:val="008A60A3"/>
    <w:rsid w:val="008A6F44"/>
    <w:rsid w:val="008C19B6"/>
    <w:rsid w:val="008C6520"/>
    <w:rsid w:val="008C6676"/>
    <w:rsid w:val="008C7DAB"/>
    <w:rsid w:val="008D3694"/>
    <w:rsid w:val="008D4A58"/>
    <w:rsid w:val="008E018F"/>
    <w:rsid w:val="008E0B2D"/>
    <w:rsid w:val="008F4B67"/>
    <w:rsid w:val="008F582D"/>
    <w:rsid w:val="008F668B"/>
    <w:rsid w:val="008F7AA9"/>
    <w:rsid w:val="00903E94"/>
    <w:rsid w:val="00905865"/>
    <w:rsid w:val="00907669"/>
    <w:rsid w:val="009155BF"/>
    <w:rsid w:val="00920E59"/>
    <w:rsid w:val="0092139F"/>
    <w:rsid w:val="009245E4"/>
    <w:rsid w:val="009315B6"/>
    <w:rsid w:val="00943197"/>
    <w:rsid w:val="00950803"/>
    <w:rsid w:val="009705CA"/>
    <w:rsid w:val="0097086A"/>
    <w:rsid w:val="009726C5"/>
    <w:rsid w:val="00981982"/>
    <w:rsid w:val="00990A3D"/>
    <w:rsid w:val="009A002E"/>
    <w:rsid w:val="009A2684"/>
    <w:rsid w:val="009A6D88"/>
    <w:rsid w:val="009B3A2B"/>
    <w:rsid w:val="009B49CA"/>
    <w:rsid w:val="009B4C2B"/>
    <w:rsid w:val="009B7EAF"/>
    <w:rsid w:val="009C1E88"/>
    <w:rsid w:val="009C4217"/>
    <w:rsid w:val="009C657E"/>
    <w:rsid w:val="009C6DDD"/>
    <w:rsid w:val="009D31CC"/>
    <w:rsid w:val="009D52B1"/>
    <w:rsid w:val="009E1A8E"/>
    <w:rsid w:val="009E1B5D"/>
    <w:rsid w:val="009E2282"/>
    <w:rsid w:val="009F214F"/>
    <w:rsid w:val="009F24DD"/>
    <w:rsid w:val="00A0054B"/>
    <w:rsid w:val="00A01076"/>
    <w:rsid w:val="00A074FD"/>
    <w:rsid w:val="00A1342F"/>
    <w:rsid w:val="00A17DB1"/>
    <w:rsid w:val="00A24630"/>
    <w:rsid w:val="00A313A5"/>
    <w:rsid w:val="00A4007B"/>
    <w:rsid w:val="00A43212"/>
    <w:rsid w:val="00A4524D"/>
    <w:rsid w:val="00A45A02"/>
    <w:rsid w:val="00A52379"/>
    <w:rsid w:val="00A532DE"/>
    <w:rsid w:val="00A5597F"/>
    <w:rsid w:val="00A57DF1"/>
    <w:rsid w:val="00A624D0"/>
    <w:rsid w:val="00A80AEA"/>
    <w:rsid w:val="00A8386A"/>
    <w:rsid w:val="00A858BF"/>
    <w:rsid w:val="00A85CF2"/>
    <w:rsid w:val="00A95901"/>
    <w:rsid w:val="00A95997"/>
    <w:rsid w:val="00AA100D"/>
    <w:rsid w:val="00AA4270"/>
    <w:rsid w:val="00AA506F"/>
    <w:rsid w:val="00AA5AB0"/>
    <w:rsid w:val="00AB61AE"/>
    <w:rsid w:val="00AC1646"/>
    <w:rsid w:val="00AC3C97"/>
    <w:rsid w:val="00AC71DC"/>
    <w:rsid w:val="00AD3C8E"/>
    <w:rsid w:val="00AD6CDC"/>
    <w:rsid w:val="00AE0265"/>
    <w:rsid w:val="00AE658F"/>
    <w:rsid w:val="00AE7A8E"/>
    <w:rsid w:val="00AF09DB"/>
    <w:rsid w:val="00AF2C76"/>
    <w:rsid w:val="00AF6CCB"/>
    <w:rsid w:val="00AF72B8"/>
    <w:rsid w:val="00B02235"/>
    <w:rsid w:val="00B03BF2"/>
    <w:rsid w:val="00B04B6F"/>
    <w:rsid w:val="00B11D0B"/>
    <w:rsid w:val="00B155FE"/>
    <w:rsid w:val="00B1588E"/>
    <w:rsid w:val="00B169AA"/>
    <w:rsid w:val="00B21DBD"/>
    <w:rsid w:val="00B229E5"/>
    <w:rsid w:val="00B24536"/>
    <w:rsid w:val="00B30A66"/>
    <w:rsid w:val="00B314DD"/>
    <w:rsid w:val="00B333C8"/>
    <w:rsid w:val="00B45152"/>
    <w:rsid w:val="00B501DE"/>
    <w:rsid w:val="00B51647"/>
    <w:rsid w:val="00B56B9E"/>
    <w:rsid w:val="00B57450"/>
    <w:rsid w:val="00B61CD6"/>
    <w:rsid w:val="00B61D68"/>
    <w:rsid w:val="00B62732"/>
    <w:rsid w:val="00B62F18"/>
    <w:rsid w:val="00B63C18"/>
    <w:rsid w:val="00B7356D"/>
    <w:rsid w:val="00B756EB"/>
    <w:rsid w:val="00B76BFF"/>
    <w:rsid w:val="00B861B4"/>
    <w:rsid w:val="00B87BDC"/>
    <w:rsid w:val="00B928D3"/>
    <w:rsid w:val="00B95E2A"/>
    <w:rsid w:val="00BB324F"/>
    <w:rsid w:val="00BC1BAE"/>
    <w:rsid w:val="00BC1C4B"/>
    <w:rsid w:val="00BC3F56"/>
    <w:rsid w:val="00BC4531"/>
    <w:rsid w:val="00BD0E5E"/>
    <w:rsid w:val="00BD3CF1"/>
    <w:rsid w:val="00BD4B7C"/>
    <w:rsid w:val="00BE17AB"/>
    <w:rsid w:val="00BE289C"/>
    <w:rsid w:val="00BF09CC"/>
    <w:rsid w:val="00BF55F1"/>
    <w:rsid w:val="00C01250"/>
    <w:rsid w:val="00C047B8"/>
    <w:rsid w:val="00C13790"/>
    <w:rsid w:val="00C13FFA"/>
    <w:rsid w:val="00C2028F"/>
    <w:rsid w:val="00C20CBE"/>
    <w:rsid w:val="00C20F08"/>
    <w:rsid w:val="00C3022B"/>
    <w:rsid w:val="00C30BB4"/>
    <w:rsid w:val="00C30F86"/>
    <w:rsid w:val="00C37C47"/>
    <w:rsid w:val="00C37EC9"/>
    <w:rsid w:val="00C4031F"/>
    <w:rsid w:val="00C4387D"/>
    <w:rsid w:val="00C46387"/>
    <w:rsid w:val="00C5318C"/>
    <w:rsid w:val="00C57893"/>
    <w:rsid w:val="00C60068"/>
    <w:rsid w:val="00C618E7"/>
    <w:rsid w:val="00C65C14"/>
    <w:rsid w:val="00C66ECA"/>
    <w:rsid w:val="00C67968"/>
    <w:rsid w:val="00C71107"/>
    <w:rsid w:val="00C7783A"/>
    <w:rsid w:val="00C77D86"/>
    <w:rsid w:val="00C9112D"/>
    <w:rsid w:val="00C919FD"/>
    <w:rsid w:val="00C92BCA"/>
    <w:rsid w:val="00C934DE"/>
    <w:rsid w:val="00C93D31"/>
    <w:rsid w:val="00CA58C9"/>
    <w:rsid w:val="00CB011C"/>
    <w:rsid w:val="00CB1F70"/>
    <w:rsid w:val="00CC2C98"/>
    <w:rsid w:val="00CD0877"/>
    <w:rsid w:val="00CD0D43"/>
    <w:rsid w:val="00CD480C"/>
    <w:rsid w:val="00CD4837"/>
    <w:rsid w:val="00CD6F3A"/>
    <w:rsid w:val="00CE1679"/>
    <w:rsid w:val="00CE7357"/>
    <w:rsid w:val="00CF4707"/>
    <w:rsid w:val="00CF5498"/>
    <w:rsid w:val="00D00B35"/>
    <w:rsid w:val="00D0262A"/>
    <w:rsid w:val="00D02D11"/>
    <w:rsid w:val="00D035D8"/>
    <w:rsid w:val="00D05F7D"/>
    <w:rsid w:val="00D06086"/>
    <w:rsid w:val="00D07CDC"/>
    <w:rsid w:val="00D13637"/>
    <w:rsid w:val="00D14588"/>
    <w:rsid w:val="00D17A93"/>
    <w:rsid w:val="00D204B8"/>
    <w:rsid w:val="00D206EA"/>
    <w:rsid w:val="00D22BBA"/>
    <w:rsid w:val="00D27F4B"/>
    <w:rsid w:val="00D32FBF"/>
    <w:rsid w:val="00D44176"/>
    <w:rsid w:val="00D53330"/>
    <w:rsid w:val="00D55201"/>
    <w:rsid w:val="00D557FB"/>
    <w:rsid w:val="00D60865"/>
    <w:rsid w:val="00D60AE4"/>
    <w:rsid w:val="00D6188D"/>
    <w:rsid w:val="00D627FD"/>
    <w:rsid w:val="00D705D2"/>
    <w:rsid w:val="00D757EA"/>
    <w:rsid w:val="00D8287A"/>
    <w:rsid w:val="00D92368"/>
    <w:rsid w:val="00D969CE"/>
    <w:rsid w:val="00D96F6A"/>
    <w:rsid w:val="00D976EF"/>
    <w:rsid w:val="00D97B7C"/>
    <w:rsid w:val="00DA0A01"/>
    <w:rsid w:val="00DA4868"/>
    <w:rsid w:val="00DA4FF7"/>
    <w:rsid w:val="00DA7FDB"/>
    <w:rsid w:val="00DB0760"/>
    <w:rsid w:val="00DB3578"/>
    <w:rsid w:val="00DB75CD"/>
    <w:rsid w:val="00DC18B9"/>
    <w:rsid w:val="00DC2BEB"/>
    <w:rsid w:val="00DC5F98"/>
    <w:rsid w:val="00DD16A2"/>
    <w:rsid w:val="00DD4BC5"/>
    <w:rsid w:val="00DE0B56"/>
    <w:rsid w:val="00DE3456"/>
    <w:rsid w:val="00DF0EFB"/>
    <w:rsid w:val="00DF1B7D"/>
    <w:rsid w:val="00DF2685"/>
    <w:rsid w:val="00DF39C4"/>
    <w:rsid w:val="00DF3D78"/>
    <w:rsid w:val="00DF5A96"/>
    <w:rsid w:val="00E0345A"/>
    <w:rsid w:val="00E2355D"/>
    <w:rsid w:val="00E244F1"/>
    <w:rsid w:val="00E24778"/>
    <w:rsid w:val="00E31651"/>
    <w:rsid w:val="00E340DC"/>
    <w:rsid w:val="00E35CBE"/>
    <w:rsid w:val="00E37B83"/>
    <w:rsid w:val="00E4326F"/>
    <w:rsid w:val="00E478AE"/>
    <w:rsid w:val="00E52102"/>
    <w:rsid w:val="00E55F14"/>
    <w:rsid w:val="00E57B5C"/>
    <w:rsid w:val="00E6464C"/>
    <w:rsid w:val="00E64FE6"/>
    <w:rsid w:val="00E71674"/>
    <w:rsid w:val="00E76149"/>
    <w:rsid w:val="00E76765"/>
    <w:rsid w:val="00E83597"/>
    <w:rsid w:val="00E86152"/>
    <w:rsid w:val="00E863E6"/>
    <w:rsid w:val="00E924CA"/>
    <w:rsid w:val="00E92716"/>
    <w:rsid w:val="00EA0CF0"/>
    <w:rsid w:val="00EA1F90"/>
    <w:rsid w:val="00EA5BC1"/>
    <w:rsid w:val="00EB29F1"/>
    <w:rsid w:val="00EB43CF"/>
    <w:rsid w:val="00EB609D"/>
    <w:rsid w:val="00EC61BF"/>
    <w:rsid w:val="00ED0F6B"/>
    <w:rsid w:val="00ED229E"/>
    <w:rsid w:val="00ED2350"/>
    <w:rsid w:val="00ED5045"/>
    <w:rsid w:val="00ED73A1"/>
    <w:rsid w:val="00EE091E"/>
    <w:rsid w:val="00EE18E2"/>
    <w:rsid w:val="00EE33C4"/>
    <w:rsid w:val="00EF64B7"/>
    <w:rsid w:val="00EF6F92"/>
    <w:rsid w:val="00EF734B"/>
    <w:rsid w:val="00F005C3"/>
    <w:rsid w:val="00F07A46"/>
    <w:rsid w:val="00F10E42"/>
    <w:rsid w:val="00F113A2"/>
    <w:rsid w:val="00F2016B"/>
    <w:rsid w:val="00F27510"/>
    <w:rsid w:val="00F30924"/>
    <w:rsid w:val="00F30AD8"/>
    <w:rsid w:val="00F33D19"/>
    <w:rsid w:val="00F405AE"/>
    <w:rsid w:val="00F4182C"/>
    <w:rsid w:val="00F42AAE"/>
    <w:rsid w:val="00F42B45"/>
    <w:rsid w:val="00F4751E"/>
    <w:rsid w:val="00F5012C"/>
    <w:rsid w:val="00F5126F"/>
    <w:rsid w:val="00F552C1"/>
    <w:rsid w:val="00F5773A"/>
    <w:rsid w:val="00F62BCD"/>
    <w:rsid w:val="00F76CDD"/>
    <w:rsid w:val="00F77667"/>
    <w:rsid w:val="00F81379"/>
    <w:rsid w:val="00F82995"/>
    <w:rsid w:val="00F82B66"/>
    <w:rsid w:val="00F836B0"/>
    <w:rsid w:val="00F83734"/>
    <w:rsid w:val="00F8548C"/>
    <w:rsid w:val="00F86616"/>
    <w:rsid w:val="00F92283"/>
    <w:rsid w:val="00FB22B2"/>
    <w:rsid w:val="00FB2BD6"/>
    <w:rsid w:val="00FB45C6"/>
    <w:rsid w:val="00FB6A10"/>
    <w:rsid w:val="00FC132C"/>
    <w:rsid w:val="00FC18CA"/>
    <w:rsid w:val="00FC7264"/>
    <w:rsid w:val="00FD1669"/>
    <w:rsid w:val="00FD20A3"/>
    <w:rsid w:val="00FF062B"/>
    <w:rsid w:val="00FF3B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DC7C30"/>
  <w15:chartTrackingRefBased/>
  <w15:docId w15:val="{BD9D88D3-1812-41EB-B9F3-8C166FAD5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028F"/>
    <w:rPr>
      <w:rFonts w:ascii="游明朝" w:eastAsia="游明朝" w:hAnsi="游明朝" w:cs="Times New Roman"/>
    </w:rPr>
  </w:style>
  <w:style w:type="paragraph" w:styleId="1">
    <w:name w:val="heading 1"/>
    <w:basedOn w:val="a"/>
    <w:next w:val="a"/>
    <w:link w:val="10"/>
    <w:uiPriority w:val="9"/>
    <w:qFormat/>
    <w:rsid w:val="00C2028F"/>
    <w:pPr>
      <w:keepNext/>
      <w:outlineLvl w:val="0"/>
    </w:pPr>
    <w:rPr>
      <w:rFonts w:ascii="游ゴシック Light" w:eastAsia="游ゴシック Light" w:hAnsi="游ゴシック Light" w:cs="ＭＳ Ｐゴシック"/>
      <w:sz w:val="24"/>
      <w:szCs w:val="24"/>
    </w:rPr>
  </w:style>
  <w:style w:type="paragraph" w:styleId="2">
    <w:name w:val="heading 2"/>
    <w:basedOn w:val="a"/>
    <w:next w:val="a"/>
    <w:link w:val="20"/>
    <w:uiPriority w:val="9"/>
    <w:unhideWhenUsed/>
    <w:qFormat/>
    <w:rsid w:val="00BD4B7C"/>
    <w:pPr>
      <w:keepNext/>
      <w:numPr>
        <w:ilvl w:val="1"/>
        <w:numId w:val="1"/>
      </w:numPr>
      <w:outlineLvl w:val="1"/>
    </w:pPr>
    <w:rPr>
      <w:rFonts w:ascii="Times New Roman" w:eastAsia="游ゴシック Light" w:hAnsi="Times New Roman" w:cs="ＭＳ Ｐゴシック"/>
      <w:b/>
      <w:bCs/>
    </w:rPr>
  </w:style>
  <w:style w:type="paragraph" w:styleId="3">
    <w:name w:val="heading 3"/>
    <w:basedOn w:val="2"/>
    <w:next w:val="a"/>
    <w:link w:val="30"/>
    <w:uiPriority w:val="9"/>
    <w:unhideWhenUsed/>
    <w:qFormat/>
    <w:rsid w:val="00BD4B7C"/>
    <w:pPr>
      <w:numPr>
        <w:ilvl w:val="2"/>
      </w:numPr>
      <w:ind w:left="567" w:hanging="567"/>
      <w:outlineLvl w:val="2"/>
    </w:pPr>
  </w:style>
  <w:style w:type="paragraph" w:styleId="5">
    <w:name w:val="heading 5"/>
    <w:basedOn w:val="a"/>
    <w:next w:val="a"/>
    <w:link w:val="50"/>
    <w:uiPriority w:val="9"/>
    <w:semiHidden/>
    <w:unhideWhenUsed/>
    <w:qFormat/>
    <w:rsid w:val="00103C37"/>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028F"/>
    <w:pPr>
      <w:tabs>
        <w:tab w:val="center" w:pos="4252"/>
        <w:tab w:val="right" w:pos="8504"/>
      </w:tabs>
      <w:snapToGrid w:val="0"/>
    </w:pPr>
  </w:style>
  <w:style w:type="character" w:customStyle="1" w:styleId="a4">
    <w:name w:val="ヘッダー (文字)"/>
    <w:basedOn w:val="a0"/>
    <w:link w:val="a3"/>
    <w:uiPriority w:val="99"/>
    <w:rsid w:val="00C2028F"/>
  </w:style>
  <w:style w:type="paragraph" w:styleId="a5">
    <w:name w:val="footer"/>
    <w:basedOn w:val="a"/>
    <w:link w:val="a6"/>
    <w:uiPriority w:val="99"/>
    <w:unhideWhenUsed/>
    <w:rsid w:val="00C2028F"/>
    <w:pPr>
      <w:tabs>
        <w:tab w:val="center" w:pos="4252"/>
        <w:tab w:val="right" w:pos="8504"/>
      </w:tabs>
      <w:snapToGrid w:val="0"/>
    </w:pPr>
  </w:style>
  <w:style w:type="character" w:customStyle="1" w:styleId="a6">
    <w:name w:val="フッター (文字)"/>
    <w:basedOn w:val="a0"/>
    <w:link w:val="a5"/>
    <w:uiPriority w:val="99"/>
    <w:rsid w:val="00C2028F"/>
  </w:style>
  <w:style w:type="character" w:customStyle="1" w:styleId="10">
    <w:name w:val="見出し 1 (文字)"/>
    <w:basedOn w:val="a0"/>
    <w:link w:val="1"/>
    <w:uiPriority w:val="9"/>
    <w:rsid w:val="00C2028F"/>
    <w:rPr>
      <w:rFonts w:ascii="游ゴシック Light" w:eastAsia="游ゴシック Light" w:hAnsi="游ゴシック Light" w:cs="ＭＳ Ｐゴシック"/>
      <w:sz w:val="24"/>
      <w:szCs w:val="24"/>
    </w:rPr>
  </w:style>
  <w:style w:type="character" w:customStyle="1" w:styleId="20">
    <w:name w:val="見出し 2 (文字)"/>
    <w:basedOn w:val="a0"/>
    <w:link w:val="2"/>
    <w:uiPriority w:val="9"/>
    <w:rsid w:val="00BD4B7C"/>
    <w:rPr>
      <w:rFonts w:ascii="Times New Roman" w:eastAsia="游ゴシック Light" w:hAnsi="Times New Roman" w:cs="ＭＳ Ｐゴシック"/>
      <w:b/>
      <w:bCs/>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列出段落,목록 단락,列表段落,B"/>
    <w:basedOn w:val="a"/>
    <w:link w:val="a8"/>
    <w:uiPriority w:val="34"/>
    <w:qFormat/>
    <w:rsid w:val="00C2028F"/>
    <w:pPr>
      <w:ind w:leftChars="400" w:left="840"/>
    </w:pPr>
  </w:style>
  <w:style w:type="character" w:customStyle="1" w:styleId="30">
    <w:name w:val="見出し 3 (文字)"/>
    <w:basedOn w:val="a0"/>
    <w:link w:val="3"/>
    <w:uiPriority w:val="9"/>
    <w:rsid w:val="00BD4B7C"/>
    <w:rPr>
      <w:rFonts w:ascii="Times New Roman" w:eastAsia="游ゴシック Light" w:hAnsi="Times New Roman" w:cs="ＭＳ Ｐゴシック"/>
      <w:b/>
      <w:bCs/>
    </w:rPr>
  </w:style>
  <w:style w:type="character" w:customStyle="1" w:styleId="ui-provider">
    <w:name w:val="ui-provider"/>
    <w:basedOn w:val="a0"/>
    <w:rsid w:val="00230CF5"/>
  </w:style>
  <w:style w:type="paragraph" w:styleId="Web">
    <w:name w:val="Normal (Web)"/>
    <w:basedOn w:val="a"/>
    <w:uiPriority w:val="99"/>
    <w:semiHidden/>
    <w:unhideWhenUsed/>
    <w:rsid w:val="00230CF5"/>
    <w:pPr>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8">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7"/>
    <w:uiPriority w:val="34"/>
    <w:qFormat/>
    <w:locked/>
    <w:rsid w:val="00E244F1"/>
    <w:rPr>
      <w:rFonts w:ascii="游明朝" w:eastAsia="游明朝" w:hAnsi="游明朝" w:cs="Times New Roman"/>
    </w:rPr>
  </w:style>
  <w:style w:type="table" w:styleId="a9">
    <w:name w:val="Table Grid"/>
    <w:basedOn w:val="a1"/>
    <w:uiPriority w:val="39"/>
    <w:qFormat/>
    <w:rsid w:val="005D1D51"/>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link w:val="ReferenceChar"/>
    <w:rsid w:val="005D1D51"/>
    <w:pPr>
      <w:numPr>
        <w:numId w:val="4"/>
      </w:numPr>
      <w:spacing w:after="160" w:line="259" w:lineRule="auto"/>
      <w:jc w:val="left"/>
    </w:pPr>
    <w:rPr>
      <w:rFonts w:asciiTheme="minorHAnsi" w:eastAsiaTheme="minorHAnsi" w:hAnsiTheme="minorHAnsi" w:cstheme="minorBidi"/>
      <w:kern w:val="0"/>
      <w:sz w:val="22"/>
      <w:lang w:eastAsia="en-US"/>
    </w:rPr>
  </w:style>
  <w:style w:type="character" w:customStyle="1" w:styleId="ReferenceChar">
    <w:name w:val="Reference Char"/>
    <w:link w:val="Reference"/>
    <w:locked/>
    <w:rsid w:val="005D1D51"/>
    <w:rPr>
      <w:rFonts w:eastAsiaTheme="minorHAnsi"/>
      <w:kern w:val="0"/>
      <w:sz w:val="22"/>
      <w:lang w:eastAsia="en-US"/>
    </w:rPr>
  </w:style>
  <w:style w:type="character" w:styleId="aa">
    <w:name w:val="Hyperlink"/>
    <w:basedOn w:val="a0"/>
    <w:uiPriority w:val="99"/>
    <w:unhideWhenUsed/>
    <w:rsid w:val="000603AB"/>
    <w:rPr>
      <w:color w:val="0000FF"/>
      <w:u w:val="single"/>
    </w:rPr>
  </w:style>
  <w:style w:type="character" w:styleId="ab">
    <w:name w:val="Unresolved Mention"/>
    <w:basedOn w:val="a0"/>
    <w:uiPriority w:val="99"/>
    <w:semiHidden/>
    <w:unhideWhenUsed/>
    <w:rsid w:val="00CA58C9"/>
    <w:rPr>
      <w:color w:val="605E5C"/>
      <w:shd w:val="clear" w:color="auto" w:fill="E1DFDD"/>
    </w:rPr>
  </w:style>
  <w:style w:type="character" w:styleId="ac">
    <w:name w:val="annotation reference"/>
    <w:basedOn w:val="a0"/>
    <w:uiPriority w:val="99"/>
    <w:semiHidden/>
    <w:unhideWhenUsed/>
    <w:rsid w:val="001E6D6B"/>
    <w:rPr>
      <w:sz w:val="18"/>
      <w:szCs w:val="18"/>
    </w:rPr>
  </w:style>
  <w:style w:type="paragraph" w:styleId="ad">
    <w:name w:val="annotation text"/>
    <w:basedOn w:val="a"/>
    <w:link w:val="ae"/>
    <w:uiPriority w:val="99"/>
    <w:semiHidden/>
    <w:unhideWhenUsed/>
    <w:rsid w:val="001E6D6B"/>
    <w:pPr>
      <w:jc w:val="left"/>
    </w:pPr>
  </w:style>
  <w:style w:type="character" w:customStyle="1" w:styleId="ae">
    <w:name w:val="コメント文字列 (文字)"/>
    <w:basedOn w:val="a0"/>
    <w:link w:val="ad"/>
    <w:uiPriority w:val="99"/>
    <w:semiHidden/>
    <w:rsid w:val="001E6D6B"/>
    <w:rPr>
      <w:rFonts w:ascii="游明朝" w:eastAsia="游明朝" w:hAnsi="游明朝" w:cs="Times New Roman"/>
    </w:rPr>
  </w:style>
  <w:style w:type="paragraph" w:styleId="af">
    <w:name w:val="annotation subject"/>
    <w:basedOn w:val="ad"/>
    <w:next w:val="ad"/>
    <w:link w:val="af0"/>
    <w:uiPriority w:val="99"/>
    <w:semiHidden/>
    <w:unhideWhenUsed/>
    <w:rsid w:val="001E6D6B"/>
    <w:rPr>
      <w:b/>
      <w:bCs/>
    </w:rPr>
  </w:style>
  <w:style w:type="character" w:customStyle="1" w:styleId="af0">
    <w:name w:val="コメント内容 (文字)"/>
    <w:basedOn w:val="ae"/>
    <w:link w:val="af"/>
    <w:uiPriority w:val="99"/>
    <w:semiHidden/>
    <w:rsid w:val="001E6D6B"/>
    <w:rPr>
      <w:rFonts w:ascii="游明朝" w:eastAsia="游明朝" w:hAnsi="游明朝" w:cs="Times New Roman"/>
      <w:b/>
      <w:bCs/>
    </w:rPr>
  </w:style>
  <w:style w:type="paragraph" w:customStyle="1" w:styleId="References">
    <w:name w:val="References"/>
    <w:basedOn w:val="a"/>
    <w:next w:val="a"/>
    <w:rsid w:val="00D96F6A"/>
    <w:pPr>
      <w:numPr>
        <w:numId w:val="8"/>
      </w:numPr>
      <w:autoSpaceDE w:val="0"/>
      <w:autoSpaceDN w:val="0"/>
      <w:snapToGrid w:val="0"/>
      <w:spacing w:before="60" w:after="60" w:line="276" w:lineRule="auto"/>
      <w:jc w:val="left"/>
    </w:pPr>
    <w:rPr>
      <w:rFonts w:ascii="Times New Roman" w:eastAsiaTheme="minorEastAsia" w:hAnsi="Times New Roman"/>
      <w:kern w:val="0"/>
      <w:sz w:val="20"/>
      <w:szCs w:val="16"/>
      <w:lang w:eastAsia="en-US"/>
    </w:rPr>
  </w:style>
  <w:style w:type="paragraph" w:customStyle="1" w:styleId="Proposal">
    <w:name w:val="Proposal"/>
    <w:basedOn w:val="a"/>
    <w:link w:val="ProposalChar"/>
    <w:qFormat/>
    <w:rsid w:val="00D96F6A"/>
    <w:pPr>
      <w:tabs>
        <w:tab w:val="left" w:pos="1701"/>
      </w:tabs>
      <w:spacing w:before="60" w:line="276" w:lineRule="auto"/>
      <w:jc w:val="left"/>
    </w:pPr>
    <w:rPr>
      <w:rFonts w:asciiTheme="minorHAnsi" w:eastAsiaTheme="minorEastAsia" w:hAnsiTheme="minorHAnsi" w:cstheme="minorBidi"/>
      <w:b/>
      <w:bCs/>
      <w:kern w:val="0"/>
      <w:sz w:val="22"/>
      <w:lang w:val="sv-SE" w:eastAsia="en-GB"/>
    </w:rPr>
  </w:style>
  <w:style w:type="character" w:customStyle="1" w:styleId="ProposalChar">
    <w:name w:val="Proposal Char"/>
    <w:basedOn w:val="a0"/>
    <w:link w:val="Proposal"/>
    <w:rsid w:val="00D96F6A"/>
    <w:rPr>
      <w:b/>
      <w:bCs/>
      <w:kern w:val="0"/>
      <w:sz w:val="22"/>
      <w:lang w:val="sv-SE" w:eastAsia="en-GB"/>
    </w:rPr>
  </w:style>
  <w:style w:type="character" w:styleId="af1">
    <w:name w:val="Strong"/>
    <w:basedOn w:val="a0"/>
    <w:uiPriority w:val="22"/>
    <w:qFormat/>
    <w:rsid w:val="00EE18E2"/>
    <w:rPr>
      <w:b/>
      <w:bCs/>
    </w:rPr>
  </w:style>
  <w:style w:type="character" w:customStyle="1" w:styleId="50">
    <w:name w:val="見出し 5 (文字)"/>
    <w:basedOn w:val="a0"/>
    <w:link w:val="5"/>
    <w:uiPriority w:val="9"/>
    <w:semiHidden/>
    <w:rsid w:val="00103C37"/>
    <w:rPr>
      <w:rFonts w:asciiTheme="majorHAnsi" w:eastAsiaTheme="majorEastAsia" w:hAnsiTheme="majorHAnsi" w:cstheme="majorBidi"/>
    </w:rPr>
  </w:style>
  <w:style w:type="character" w:customStyle="1" w:styleId="21">
    <w:name w:val="リスト段落 (文字)2"/>
    <w:uiPriority w:val="34"/>
    <w:qFormat/>
    <w:rsid w:val="007E0D0E"/>
    <w:rPr>
      <w:rFonts w:ascii="Times New Roman" w:eastAsia="ＭＳ ゴシック" w:hAnsi="Times New Roman"/>
      <w:sz w:val="24"/>
      <w:lang w:val="en-GB" w:eastAsia="ja-JP"/>
    </w:rPr>
  </w:style>
  <w:style w:type="character" w:customStyle="1" w:styleId="contentpasted1">
    <w:name w:val="contentpasted1"/>
    <w:basedOn w:val="a0"/>
    <w:rsid w:val="007E0D0E"/>
  </w:style>
  <w:style w:type="character" w:customStyle="1" w:styleId="apple-converted-space">
    <w:name w:val="apple-converted-space"/>
    <w:basedOn w:val="a0"/>
    <w:rsid w:val="007E0D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92865">
      <w:bodyDiv w:val="1"/>
      <w:marLeft w:val="0"/>
      <w:marRight w:val="0"/>
      <w:marTop w:val="0"/>
      <w:marBottom w:val="0"/>
      <w:divBdr>
        <w:top w:val="none" w:sz="0" w:space="0" w:color="auto"/>
        <w:left w:val="none" w:sz="0" w:space="0" w:color="auto"/>
        <w:bottom w:val="none" w:sz="0" w:space="0" w:color="auto"/>
        <w:right w:val="none" w:sz="0" w:space="0" w:color="auto"/>
      </w:divBdr>
      <w:divsChild>
        <w:div w:id="701172769">
          <w:marLeft w:val="475"/>
          <w:marRight w:val="0"/>
          <w:marTop w:val="120"/>
          <w:marBottom w:val="160"/>
          <w:divBdr>
            <w:top w:val="none" w:sz="0" w:space="0" w:color="auto"/>
            <w:left w:val="none" w:sz="0" w:space="0" w:color="auto"/>
            <w:bottom w:val="none" w:sz="0" w:space="0" w:color="auto"/>
            <w:right w:val="none" w:sz="0" w:space="0" w:color="auto"/>
          </w:divBdr>
        </w:div>
        <w:div w:id="2140763043">
          <w:marLeft w:val="965"/>
          <w:marRight w:val="0"/>
          <w:marTop w:val="60"/>
          <w:marBottom w:val="160"/>
          <w:divBdr>
            <w:top w:val="none" w:sz="0" w:space="0" w:color="auto"/>
            <w:left w:val="none" w:sz="0" w:space="0" w:color="auto"/>
            <w:bottom w:val="none" w:sz="0" w:space="0" w:color="auto"/>
            <w:right w:val="none" w:sz="0" w:space="0" w:color="auto"/>
          </w:divBdr>
        </w:div>
        <w:div w:id="632948338">
          <w:marLeft w:val="965"/>
          <w:marRight w:val="0"/>
          <w:marTop w:val="60"/>
          <w:marBottom w:val="160"/>
          <w:divBdr>
            <w:top w:val="none" w:sz="0" w:space="0" w:color="auto"/>
            <w:left w:val="none" w:sz="0" w:space="0" w:color="auto"/>
            <w:bottom w:val="none" w:sz="0" w:space="0" w:color="auto"/>
            <w:right w:val="none" w:sz="0" w:space="0" w:color="auto"/>
          </w:divBdr>
        </w:div>
        <w:div w:id="1075589581">
          <w:marLeft w:val="475"/>
          <w:marRight w:val="0"/>
          <w:marTop w:val="120"/>
          <w:marBottom w:val="160"/>
          <w:divBdr>
            <w:top w:val="none" w:sz="0" w:space="0" w:color="auto"/>
            <w:left w:val="none" w:sz="0" w:space="0" w:color="auto"/>
            <w:bottom w:val="none" w:sz="0" w:space="0" w:color="auto"/>
            <w:right w:val="none" w:sz="0" w:space="0" w:color="auto"/>
          </w:divBdr>
        </w:div>
        <w:div w:id="1724718492">
          <w:marLeft w:val="965"/>
          <w:marRight w:val="0"/>
          <w:marTop w:val="60"/>
          <w:marBottom w:val="160"/>
          <w:divBdr>
            <w:top w:val="none" w:sz="0" w:space="0" w:color="auto"/>
            <w:left w:val="none" w:sz="0" w:space="0" w:color="auto"/>
            <w:bottom w:val="none" w:sz="0" w:space="0" w:color="auto"/>
            <w:right w:val="none" w:sz="0" w:space="0" w:color="auto"/>
          </w:divBdr>
        </w:div>
        <w:div w:id="1665706">
          <w:marLeft w:val="475"/>
          <w:marRight w:val="0"/>
          <w:marTop w:val="120"/>
          <w:marBottom w:val="160"/>
          <w:divBdr>
            <w:top w:val="none" w:sz="0" w:space="0" w:color="auto"/>
            <w:left w:val="none" w:sz="0" w:space="0" w:color="auto"/>
            <w:bottom w:val="none" w:sz="0" w:space="0" w:color="auto"/>
            <w:right w:val="none" w:sz="0" w:space="0" w:color="auto"/>
          </w:divBdr>
        </w:div>
        <w:div w:id="1607688398">
          <w:marLeft w:val="965"/>
          <w:marRight w:val="0"/>
          <w:marTop w:val="60"/>
          <w:marBottom w:val="160"/>
          <w:divBdr>
            <w:top w:val="none" w:sz="0" w:space="0" w:color="auto"/>
            <w:left w:val="none" w:sz="0" w:space="0" w:color="auto"/>
            <w:bottom w:val="none" w:sz="0" w:space="0" w:color="auto"/>
            <w:right w:val="none" w:sz="0" w:space="0" w:color="auto"/>
          </w:divBdr>
        </w:div>
        <w:div w:id="565649864">
          <w:marLeft w:val="965"/>
          <w:marRight w:val="0"/>
          <w:marTop w:val="60"/>
          <w:marBottom w:val="160"/>
          <w:divBdr>
            <w:top w:val="none" w:sz="0" w:space="0" w:color="auto"/>
            <w:left w:val="none" w:sz="0" w:space="0" w:color="auto"/>
            <w:bottom w:val="none" w:sz="0" w:space="0" w:color="auto"/>
            <w:right w:val="none" w:sz="0" w:space="0" w:color="auto"/>
          </w:divBdr>
        </w:div>
        <w:div w:id="1783300483">
          <w:marLeft w:val="475"/>
          <w:marRight w:val="0"/>
          <w:marTop w:val="120"/>
          <w:marBottom w:val="160"/>
          <w:divBdr>
            <w:top w:val="none" w:sz="0" w:space="0" w:color="auto"/>
            <w:left w:val="none" w:sz="0" w:space="0" w:color="auto"/>
            <w:bottom w:val="none" w:sz="0" w:space="0" w:color="auto"/>
            <w:right w:val="none" w:sz="0" w:space="0" w:color="auto"/>
          </w:divBdr>
        </w:div>
        <w:div w:id="1443720387">
          <w:marLeft w:val="475"/>
          <w:marRight w:val="0"/>
          <w:marTop w:val="120"/>
          <w:marBottom w:val="160"/>
          <w:divBdr>
            <w:top w:val="none" w:sz="0" w:space="0" w:color="auto"/>
            <w:left w:val="none" w:sz="0" w:space="0" w:color="auto"/>
            <w:bottom w:val="none" w:sz="0" w:space="0" w:color="auto"/>
            <w:right w:val="none" w:sz="0" w:space="0" w:color="auto"/>
          </w:divBdr>
        </w:div>
      </w:divsChild>
    </w:div>
    <w:div w:id="298848502">
      <w:bodyDiv w:val="1"/>
      <w:marLeft w:val="0"/>
      <w:marRight w:val="0"/>
      <w:marTop w:val="0"/>
      <w:marBottom w:val="0"/>
      <w:divBdr>
        <w:top w:val="none" w:sz="0" w:space="0" w:color="auto"/>
        <w:left w:val="none" w:sz="0" w:space="0" w:color="auto"/>
        <w:bottom w:val="none" w:sz="0" w:space="0" w:color="auto"/>
        <w:right w:val="none" w:sz="0" w:space="0" w:color="auto"/>
      </w:divBdr>
    </w:div>
    <w:div w:id="440299374">
      <w:bodyDiv w:val="1"/>
      <w:marLeft w:val="0"/>
      <w:marRight w:val="0"/>
      <w:marTop w:val="0"/>
      <w:marBottom w:val="0"/>
      <w:divBdr>
        <w:top w:val="none" w:sz="0" w:space="0" w:color="auto"/>
        <w:left w:val="none" w:sz="0" w:space="0" w:color="auto"/>
        <w:bottom w:val="none" w:sz="0" w:space="0" w:color="auto"/>
        <w:right w:val="none" w:sz="0" w:space="0" w:color="auto"/>
      </w:divBdr>
      <w:divsChild>
        <w:div w:id="1953435634">
          <w:marLeft w:val="475"/>
          <w:marRight w:val="0"/>
          <w:marTop w:val="120"/>
          <w:marBottom w:val="0"/>
          <w:divBdr>
            <w:top w:val="none" w:sz="0" w:space="0" w:color="auto"/>
            <w:left w:val="none" w:sz="0" w:space="0" w:color="auto"/>
            <w:bottom w:val="none" w:sz="0" w:space="0" w:color="auto"/>
            <w:right w:val="none" w:sz="0" w:space="0" w:color="auto"/>
          </w:divBdr>
        </w:div>
        <w:div w:id="286545546">
          <w:marLeft w:val="850"/>
          <w:marRight w:val="0"/>
          <w:marTop w:val="60"/>
          <w:marBottom w:val="0"/>
          <w:divBdr>
            <w:top w:val="none" w:sz="0" w:space="0" w:color="auto"/>
            <w:left w:val="none" w:sz="0" w:space="0" w:color="auto"/>
            <w:bottom w:val="none" w:sz="0" w:space="0" w:color="auto"/>
            <w:right w:val="none" w:sz="0" w:space="0" w:color="auto"/>
          </w:divBdr>
        </w:div>
        <w:div w:id="491601304">
          <w:marLeft w:val="475"/>
          <w:marRight w:val="0"/>
          <w:marTop w:val="120"/>
          <w:marBottom w:val="0"/>
          <w:divBdr>
            <w:top w:val="none" w:sz="0" w:space="0" w:color="auto"/>
            <w:left w:val="none" w:sz="0" w:space="0" w:color="auto"/>
            <w:bottom w:val="none" w:sz="0" w:space="0" w:color="auto"/>
            <w:right w:val="none" w:sz="0" w:space="0" w:color="auto"/>
          </w:divBdr>
        </w:div>
      </w:divsChild>
    </w:div>
    <w:div w:id="440609092">
      <w:bodyDiv w:val="1"/>
      <w:marLeft w:val="0"/>
      <w:marRight w:val="0"/>
      <w:marTop w:val="0"/>
      <w:marBottom w:val="0"/>
      <w:divBdr>
        <w:top w:val="none" w:sz="0" w:space="0" w:color="auto"/>
        <w:left w:val="none" w:sz="0" w:space="0" w:color="auto"/>
        <w:bottom w:val="none" w:sz="0" w:space="0" w:color="auto"/>
        <w:right w:val="none" w:sz="0" w:space="0" w:color="auto"/>
      </w:divBdr>
    </w:div>
    <w:div w:id="533806064">
      <w:bodyDiv w:val="1"/>
      <w:marLeft w:val="0"/>
      <w:marRight w:val="0"/>
      <w:marTop w:val="0"/>
      <w:marBottom w:val="0"/>
      <w:divBdr>
        <w:top w:val="none" w:sz="0" w:space="0" w:color="auto"/>
        <w:left w:val="none" w:sz="0" w:space="0" w:color="auto"/>
        <w:bottom w:val="none" w:sz="0" w:space="0" w:color="auto"/>
        <w:right w:val="none" w:sz="0" w:space="0" w:color="auto"/>
      </w:divBdr>
      <w:divsChild>
        <w:div w:id="954170976">
          <w:marLeft w:val="1166"/>
          <w:marRight w:val="0"/>
          <w:marTop w:val="60"/>
          <w:marBottom w:val="0"/>
          <w:divBdr>
            <w:top w:val="none" w:sz="0" w:space="0" w:color="auto"/>
            <w:left w:val="none" w:sz="0" w:space="0" w:color="auto"/>
            <w:bottom w:val="none" w:sz="0" w:space="0" w:color="auto"/>
            <w:right w:val="none" w:sz="0" w:space="0" w:color="auto"/>
          </w:divBdr>
        </w:div>
        <w:div w:id="1462918001">
          <w:marLeft w:val="1166"/>
          <w:marRight w:val="0"/>
          <w:marTop w:val="60"/>
          <w:marBottom w:val="0"/>
          <w:divBdr>
            <w:top w:val="none" w:sz="0" w:space="0" w:color="auto"/>
            <w:left w:val="none" w:sz="0" w:space="0" w:color="auto"/>
            <w:bottom w:val="none" w:sz="0" w:space="0" w:color="auto"/>
            <w:right w:val="none" w:sz="0" w:space="0" w:color="auto"/>
          </w:divBdr>
        </w:div>
        <w:div w:id="683823840">
          <w:marLeft w:val="1166"/>
          <w:marRight w:val="0"/>
          <w:marTop w:val="60"/>
          <w:marBottom w:val="0"/>
          <w:divBdr>
            <w:top w:val="none" w:sz="0" w:space="0" w:color="auto"/>
            <w:left w:val="none" w:sz="0" w:space="0" w:color="auto"/>
            <w:bottom w:val="none" w:sz="0" w:space="0" w:color="auto"/>
            <w:right w:val="none" w:sz="0" w:space="0" w:color="auto"/>
          </w:divBdr>
        </w:div>
        <w:div w:id="480851199">
          <w:marLeft w:val="1800"/>
          <w:marRight w:val="0"/>
          <w:marTop w:val="60"/>
          <w:marBottom w:val="0"/>
          <w:divBdr>
            <w:top w:val="none" w:sz="0" w:space="0" w:color="auto"/>
            <w:left w:val="none" w:sz="0" w:space="0" w:color="auto"/>
            <w:bottom w:val="none" w:sz="0" w:space="0" w:color="auto"/>
            <w:right w:val="none" w:sz="0" w:space="0" w:color="auto"/>
          </w:divBdr>
        </w:div>
        <w:div w:id="1078020407">
          <w:marLeft w:val="1800"/>
          <w:marRight w:val="0"/>
          <w:marTop w:val="60"/>
          <w:marBottom w:val="0"/>
          <w:divBdr>
            <w:top w:val="none" w:sz="0" w:space="0" w:color="auto"/>
            <w:left w:val="none" w:sz="0" w:space="0" w:color="auto"/>
            <w:bottom w:val="none" w:sz="0" w:space="0" w:color="auto"/>
            <w:right w:val="none" w:sz="0" w:space="0" w:color="auto"/>
          </w:divBdr>
        </w:div>
        <w:div w:id="1554973132">
          <w:marLeft w:val="1166"/>
          <w:marRight w:val="0"/>
          <w:marTop w:val="60"/>
          <w:marBottom w:val="0"/>
          <w:divBdr>
            <w:top w:val="none" w:sz="0" w:space="0" w:color="auto"/>
            <w:left w:val="none" w:sz="0" w:space="0" w:color="auto"/>
            <w:bottom w:val="none" w:sz="0" w:space="0" w:color="auto"/>
            <w:right w:val="none" w:sz="0" w:space="0" w:color="auto"/>
          </w:divBdr>
        </w:div>
        <w:div w:id="1493371243">
          <w:marLeft w:val="1166"/>
          <w:marRight w:val="0"/>
          <w:marTop w:val="60"/>
          <w:marBottom w:val="0"/>
          <w:divBdr>
            <w:top w:val="none" w:sz="0" w:space="0" w:color="auto"/>
            <w:left w:val="none" w:sz="0" w:space="0" w:color="auto"/>
            <w:bottom w:val="none" w:sz="0" w:space="0" w:color="auto"/>
            <w:right w:val="none" w:sz="0" w:space="0" w:color="auto"/>
          </w:divBdr>
        </w:div>
        <w:div w:id="1268998919">
          <w:marLeft w:val="1800"/>
          <w:marRight w:val="0"/>
          <w:marTop w:val="60"/>
          <w:marBottom w:val="0"/>
          <w:divBdr>
            <w:top w:val="none" w:sz="0" w:space="0" w:color="auto"/>
            <w:left w:val="none" w:sz="0" w:space="0" w:color="auto"/>
            <w:bottom w:val="none" w:sz="0" w:space="0" w:color="auto"/>
            <w:right w:val="none" w:sz="0" w:space="0" w:color="auto"/>
          </w:divBdr>
        </w:div>
        <w:div w:id="1960406056">
          <w:marLeft w:val="1800"/>
          <w:marRight w:val="0"/>
          <w:marTop w:val="60"/>
          <w:marBottom w:val="0"/>
          <w:divBdr>
            <w:top w:val="none" w:sz="0" w:space="0" w:color="auto"/>
            <w:left w:val="none" w:sz="0" w:space="0" w:color="auto"/>
            <w:bottom w:val="none" w:sz="0" w:space="0" w:color="auto"/>
            <w:right w:val="none" w:sz="0" w:space="0" w:color="auto"/>
          </w:divBdr>
        </w:div>
        <w:div w:id="2037542884">
          <w:marLeft w:val="1166"/>
          <w:marRight w:val="0"/>
          <w:marTop w:val="60"/>
          <w:marBottom w:val="0"/>
          <w:divBdr>
            <w:top w:val="none" w:sz="0" w:space="0" w:color="auto"/>
            <w:left w:val="none" w:sz="0" w:space="0" w:color="auto"/>
            <w:bottom w:val="none" w:sz="0" w:space="0" w:color="auto"/>
            <w:right w:val="none" w:sz="0" w:space="0" w:color="auto"/>
          </w:divBdr>
        </w:div>
        <w:div w:id="823814262">
          <w:marLeft w:val="1800"/>
          <w:marRight w:val="0"/>
          <w:marTop w:val="60"/>
          <w:marBottom w:val="0"/>
          <w:divBdr>
            <w:top w:val="none" w:sz="0" w:space="0" w:color="auto"/>
            <w:left w:val="none" w:sz="0" w:space="0" w:color="auto"/>
            <w:bottom w:val="none" w:sz="0" w:space="0" w:color="auto"/>
            <w:right w:val="none" w:sz="0" w:space="0" w:color="auto"/>
          </w:divBdr>
        </w:div>
        <w:div w:id="783305880">
          <w:marLeft w:val="1800"/>
          <w:marRight w:val="0"/>
          <w:marTop w:val="60"/>
          <w:marBottom w:val="0"/>
          <w:divBdr>
            <w:top w:val="none" w:sz="0" w:space="0" w:color="auto"/>
            <w:left w:val="none" w:sz="0" w:space="0" w:color="auto"/>
            <w:bottom w:val="none" w:sz="0" w:space="0" w:color="auto"/>
            <w:right w:val="none" w:sz="0" w:space="0" w:color="auto"/>
          </w:divBdr>
        </w:div>
        <w:div w:id="1494368094">
          <w:marLeft w:val="475"/>
          <w:marRight w:val="0"/>
          <w:marTop w:val="0"/>
          <w:marBottom w:val="0"/>
          <w:divBdr>
            <w:top w:val="none" w:sz="0" w:space="0" w:color="auto"/>
            <w:left w:val="none" w:sz="0" w:space="0" w:color="auto"/>
            <w:bottom w:val="none" w:sz="0" w:space="0" w:color="auto"/>
            <w:right w:val="none" w:sz="0" w:space="0" w:color="auto"/>
          </w:divBdr>
        </w:div>
        <w:div w:id="447286744">
          <w:marLeft w:val="475"/>
          <w:marRight w:val="0"/>
          <w:marTop w:val="120"/>
          <w:marBottom w:val="160"/>
          <w:divBdr>
            <w:top w:val="none" w:sz="0" w:space="0" w:color="auto"/>
            <w:left w:val="none" w:sz="0" w:space="0" w:color="auto"/>
            <w:bottom w:val="none" w:sz="0" w:space="0" w:color="auto"/>
            <w:right w:val="none" w:sz="0" w:space="0" w:color="auto"/>
          </w:divBdr>
        </w:div>
      </w:divsChild>
    </w:div>
    <w:div w:id="545264452">
      <w:bodyDiv w:val="1"/>
      <w:marLeft w:val="0"/>
      <w:marRight w:val="0"/>
      <w:marTop w:val="0"/>
      <w:marBottom w:val="0"/>
      <w:divBdr>
        <w:top w:val="none" w:sz="0" w:space="0" w:color="auto"/>
        <w:left w:val="none" w:sz="0" w:space="0" w:color="auto"/>
        <w:bottom w:val="none" w:sz="0" w:space="0" w:color="auto"/>
        <w:right w:val="none" w:sz="0" w:space="0" w:color="auto"/>
      </w:divBdr>
      <w:divsChild>
        <w:div w:id="225459031">
          <w:marLeft w:val="1166"/>
          <w:marRight w:val="0"/>
          <w:marTop w:val="60"/>
          <w:marBottom w:val="0"/>
          <w:divBdr>
            <w:top w:val="none" w:sz="0" w:space="0" w:color="auto"/>
            <w:left w:val="none" w:sz="0" w:space="0" w:color="auto"/>
            <w:bottom w:val="none" w:sz="0" w:space="0" w:color="auto"/>
            <w:right w:val="none" w:sz="0" w:space="0" w:color="auto"/>
          </w:divBdr>
        </w:div>
        <w:div w:id="700935227">
          <w:marLeft w:val="1800"/>
          <w:marRight w:val="0"/>
          <w:marTop w:val="60"/>
          <w:marBottom w:val="0"/>
          <w:divBdr>
            <w:top w:val="none" w:sz="0" w:space="0" w:color="auto"/>
            <w:left w:val="none" w:sz="0" w:space="0" w:color="auto"/>
            <w:bottom w:val="none" w:sz="0" w:space="0" w:color="auto"/>
            <w:right w:val="none" w:sz="0" w:space="0" w:color="auto"/>
          </w:divBdr>
        </w:div>
        <w:div w:id="585305485">
          <w:marLeft w:val="1166"/>
          <w:marRight w:val="0"/>
          <w:marTop w:val="60"/>
          <w:marBottom w:val="0"/>
          <w:divBdr>
            <w:top w:val="none" w:sz="0" w:space="0" w:color="auto"/>
            <w:left w:val="none" w:sz="0" w:space="0" w:color="auto"/>
            <w:bottom w:val="none" w:sz="0" w:space="0" w:color="auto"/>
            <w:right w:val="none" w:sz="0" w:space="0" w:color="auto"/>
          </w:divBdr>
        </w:div>
        <w:div w:id="1567185420">
          <w:marLeft w:val="1800"/>
          <w:marRight w:val="0"/>
          <w:marTop w:val="60"/>
          <w:marBottom w:val="0"/>
          <w:divBdr>
            <w:top w:val="none" w:sz="0" w:space="0" w:color="auto"/>
            <w:left w:val="none" w:sz="0" w:space="0" w:color="auto"/>
            <w:bottom w:val="none" w:sz="0" w:space="0" w:color="auto"/>
            <w:right w:val="none" w:sz="0" w:space="0" w:color="auto"/>
          </w:divBdr>
        </w:div>
        <w:div w:id="1245724557">
          <w:marLeft w:val="1166"/>
          <w:marRight w:val="0"/>
          <w:marTop w:val="60"/>
          <w:marBottom w:val="0"/>
          <w:divBdr>
            <w:top w:val="none" w:sz="0" w:space="0" w:color="auto"/>
            <w:left w:val="none" w:sz="0" w:space="0" w:color="auto"/>
            <w:bottom w:val="none" w:sz="0" w:space="0" w:color="auto"/>
            <w:right w:val="none" w:sz="0" w:space="0" w:color="auto"/>
          </w:divBdr>
        </w:div>
      </w:divsChild>
    </w:div>
    <w:div w:id="569462263">
      <w:bodyDiv w:val="1"/>
      <w:marLeft w:val="0"/>
      <w:marRight w:val="0"/>
      <w:marTop w:val="0"/>
      <w:marBottom w:val="0"/>
      <w:divBdr>
        <w:top w:val="none" w:sz="0" w:space="0" w:color="auto"/>
        <w:left w:val="none" w:sz="0" w:space="0" w:color="auto"/>
        <w:bottom w:val="none" w:sz="0" w:space="0" w:color="auto"/>
        <w:right w:val="none" w:sz="0" w:space="0" w:color="auto"/>
      </w:divBdr>
      <w:divsChild>
        <w:div w:id="1379235948">
          <w:marLeft w:val="475"/>
          <w:marRight w:val="0"/>
          <w:marTop w:val="120"/>
          <w:marBottom w:val="0"/>
          <w:divBdr>
            <w:top w:val="none" w:sz="0" w:space="0" w:color="auto"/>
            <w:left w:val="none" w:sz="0" w:space="0" w:color="auto"/>
            <w:bottom w:val="none" w:sz="0" w:space="0" w:color="auto"/>
            <w:right w:val="none" w:sz="0" w:space="0" w:color="auto"/>
          </w:divBdr>
        </w:div>
        <w:div w:id="1073702708">
          <w:marLeft w:val="475"/>
          <w:marRight w:val="0"/>
          <w:marTop w:val="120"/>
          <w:marBottom w:val="0"/>
          <w:divBdr>
            <w:top w:val="none" w:sz="0" w:space="0" w:color="auto"/>
            <w:left w:val="none" w:sz="0" w:space="0" w:color="auto"/>
            <w:bottom w:val="none" w:sz="0" w:space="0" w:color="auto"/>
            <w:right w:val="none" w:sz="0" w:space="0" w:color="auto"/>
          </w:divBdr>
        </w:div>
        <w:div w:id="1499886858">
          <w:marLeft w:val="475"/>
          <w:marRight w:val="0"/>
          <w:marTop w:val="120"/>
          <w:marBottom w:val="0"/>
          <w:divBdr>
            <w:top w:val="none" w:sz="0" w:space="0" w:color="auto"/>
            <w:left w:val="none" w:sz="0" w:space="0" w:color="auto"/>
            <w:bottom w:val="none" w:sz="0" w:space="0" w:color="auto"/>
            <w:right w:val="none" w:sz="0" w:space="0" w:color="auto"/>
          </w:divBdr>
        </w:div>
      </w:divsChild>
    </w:div>
    <w:div w:id="569508545">
      <w:bodyDiv w:val="1"/>
      <w:marLeft w:val="0"/>
      <w:marRight w:val="0"/>
      <w:marTop w:val="0"/>
      <w:marBottom w:val="0"/>
      <w:divBdr>
        <w:top w:val="none" w:sz="0" w:space="0" w:color="auto"/>
        <w:left w:val="none" w:sz="0" w:space="0" w:color="auto"/>
        <w:bottom w:val="none" w:sz="0" w:space="0" w:color="auto"/>
        <w:right w:val="none" w:sz="0" w:space="0" w:color="auto"/>
      </w:divBdr>
      <w:divsChild>
        <w:div w:id="343363831">
          <w:marLeft w:val="475"/>
          <w:marRight w:val="0"/>
          <w:marTop w:val="120"/>
          <w:marBottom w:val="160"/>
          <w:divBdr>
            <w:top w:val="none" w:sz="0" w:space="0" w:color="auto"/>
            <w:left w:val="none" w:sz="0" w:space="0" w:color="auto"/>
            <w:bottom w:val="none" w:sz="0" w:space="0" w:color="auto"/>
            <w:right w:val="none" w:sz="0" w:space="0" w:color="auto"/>
          </w:divBdr>
        </w:div>
        <w:div w:id="2112973667">
          <w:marLeft w:val="475"/>
          <w:marRight w:val="0"/>
          <w:marTop w:val="120"/>
          <w:marBottom w:val="160"/>
          <w:divBdr>
            <w:top w:val="none" w:sz="0" w:space="0" w:color="auto"/>
            <w:left w:val="none" w:sz="0" w:space="0" w:color="auto"/>
            <w:bottom w:val="none" w:sz="0" w:space="0" w:color="auto"/>
            <w:right w:val="none" w:sz="0" w:space="0" w:color="auto"/>
          </w:divBdr>
        </w:div>
        <w:div w:id="158155839">
          <w:marLeft w:val="475"/>
          <w:marRight w:val="0"/>
          <w:marTop w:val="120"/>
          <w:marBottom w:val="160"/>
          <w:divBdr>
            <w:top w:val="none" w:sz="0" w:space="0" w:color="auto"/>
            <w:left w:val="none" w:sz="0" w:space="0" w:color="auto"/>
            <w:bottom w:val="none" w:sz="0" w:space="0" w:color="auto"/>
            <w:right w:val="none" w:sz="0" w:space="0" w:color="auto"/>
          </w:divBdr>
        </w:div>
        <w:div w:id="85616072">
          <w:marLeft w:val="475"/>
          <w:marRight w:val="0"/>
          <w:marTop w:val="120"/>
          <w:marBottom w:val="160"/>
          <w:divBdr>
            <w:top w:val="none" w:sz="0" w:space="0" w:color="auto"/>
            <w:left w:val="none" w:sz="0" w:space="0" w:color="auto"/>
            <w:bottom w:val="none" w:sz="0" w:space="0" w:color="auto"/>
            <w:right w:val="none" w:sz="0" w:space="0" w:color="auto"/>
          </w:divBdr>
        </w:div>
        <w:div w:id="1910263794">
          <w:marLeft w:val="475"/>
          <w:marRight w:val="0"/>
          <w:marTop w:val="120"/>
          <w:marBottom w:val="0"/>
          <w:divBdr>
            <w:top w:val="none" w:sz="0" w:space="0" w:color="auto"/>
            <w:left w:val="none" w:sz="0" w:space="0" w:color="auto"/>
            <w:bottom w:val="none" w:sz="0" w:space="0" w:color="auto"/>
            <w:right w:val="none" w:sz="0" w:space="0" w:color="auto"/>
          </w:divBdr>
        </w:div>
        <w:div w:id="2074110341">
          <w:marLeft w:val="1166"/>
          <w:marRight w:val="0"/>
          <w:marTop w:val="60"/>
          <w:marBottom w:val="0"/>
          <w:divBdr>
            <w:top w:val="none" w:sz="0" w:space="0" w:color="auto"/>
            <w:left w:val="none" w:sz="0" w:space="0" w:color="auto"/>
            <w:bottom w:val="none" w:sz="0" w:space="0" w:color="auto"/>
            <w:right w:val="none" w:sz="0" w:space="0" w:color="auto"/>
          </w:divBdr>
        </w:div>
        <w:div w:id="2053578138">
          <w:marLeft w:val="1800"/>
          <w:marRight w:val="0"/>
          <w:marTop w:val="60"/>
          <w:marBottom w:val="0"/>
          <w:divBdr>
            <w:top w:val="none" w:sz="0" w:space="0" w:color="auto"/>
            <w:left w:val="none" w:sz="0" w:space="0" w:color="auto"/>
            <w:bottom w:val="none" w:sz="0" w:space="0" w:color="auto"/>
            <w:right w:val="none" w:sz="0" w:space="0" w:color="auto"/>
          </w:divBdr>
        </w:div>
        <w:div w:id="1323922593">
          <w:marLeft w:val="1166"/>
          <w:marRight w:val="0"/>
          <w:marTop w:val="60"/>
          <w:marBottom w:val="0"/>
          <w:divBdr>
            <w:top w:val="none" w:sz="0" w:space="0" w:color="auto"/>
            <w:left w:val="none" w:sz="0" w:space="0" w:color="auto"/>
            <w:bottom w:val="none" w:sz="0" w:space="0" w:color="auto"/>
            <w:right w:val="none" w:sz="0" w:space="0" w:color="auto"/>
          </w:divBdr>
        </w:div>
        <w:div w:id="320155299">
          <w:marLeft w:val="1800"/>
          <w:marRight w:val="0"/>
          <w:marTop w:val="60"/>
          <w:marBottom w:val="0"/>
          <w:divBdr>
            <w:top w:val="none" w:sz="0" w:space="0" w:color="auto"/>
            <w:left w:val="none" w:sz="0" w:space="0" w:color="auto"/>
            <w:bottom w:val="none" w:sz="0" w:space="0" w:color="auto"/>
            <w:right w:val="none" w:sz="0" w:space="0" w:color="auto"/>
          </w:divBdr>
        </w:div>
        <w:div w:id="1322078711">
          <w:marLeft w:val="1166"/>
          <w:marRight w:val="0"/>
          <w:marTop w:val="60"/>
          <w:marBottom w:val="0"/>
          <w:divBdr>
            <w:top w:val="none" w:sz="0" w:space="0" w:color="auto"/>
            <w:left w:val="none" w:sz="0" w:space="0" w:color="auto"/>
            <w:bottom w:val="none" w:sz="0" w:space="0" w:color="auto"/>
            <w:right w:val="none" w:sz="0" w:space="0" w:color="auto"/>
          </w:divBdr>
        </w:div>
      </w:divsChild>
    </w:div>
    <w:div w:id="618414490">
      <w:bodyDiv w:val="1"/>
      <w:marLeft w:val="0"/>
      <w:marRight w:val="0"/>
      <w:marTop w:val="0"/>
      <w:marBottom w:val="0"/>
      <w:divBdr>
        <w:top w:val="none" w:sz="0" w:space="0" w:color="auto"/>
        <w:left w:val="none" w:sz="0" w:space="0" w:color="auto"/>
        <w:bottom w:val="none" w:sz="0" w:space="0" w:color="auto"/>
        <w:right w:val="none" w:sz="0" w:space="0" w:color="auto"/>
      </w:divBdr>
      <w:divsChild>
        <w:div w:id="1242328152">
          <w:marLeft w:val="475"/>
          <w:marRight w:val="0"/>
          <w:marTop w:val="120"/>
          <w:marBottom w:val="160"/>
          <w:divBdr>
            <w:top w:val="none" w:sz="0" w:space="0" w:color="auto"/>
            <w:left w:val="none" w:sz="0" w:space="0" w:color="auto"/>
            <w:bottom w:val="none" w:sz="0" w:space="0" w:color="auto"/>
            <w:right w:val="none" w:sz="0" w:space="0" w:color="auto"/>
          </w:divBdr>
        </w:div>
      </w:divsChild>
    </w:div>
    <w:div w:id="618954058">
      <w:bodyDiv w:val="1"/>
      <w:marLeft w:val="0"/>
      <w:marRight w:val="0"/>
      <w:marTop w:val="0"/>
      <w:marBottom w:val="0"/>
      <w:divBdr>
        <w:top w:val="none" w:sz="0" w:space="0" w:color="auto"/>
        <w:left w:val="none" w:sz="0" w:space="0" w:color="auto"/>
        <w:bottom w:val="none" w:sz="0" w:space="0" w:color="auto"/>
        <w:right w:val="none" w:sz="0" w:space="0" w:color="auto"/>
      </w:divBdr>
      <w:divsChild>
        <w:div w:id="1316497058">
          <w:marLeft w:val="475"/>
          <w:marRight w:val="0"/>
          <w:marTop w:val="120"/>
          <w:marBottom w:val="0"/>
          <w:divBdr>
            <w:top w:val="none" w:sz="0" w:space="0" w:color="auto"/>
            <w:left w:val="none" w:sz="0" w:space="0" w:color="auto"/>
            <w:bottom w:val="none" w:sz="0" w:space="0" w:color="auto"/>
            <w:right w:val="none" w:sz="0" w:space="0" w:color="auto"/>
          </w:divBdr>
        </w:div>
        <w:div w:id="1370954965">
          <w:marLeft w:val="1166"/>
          <w:marRight w:val="0"/>
          <w:marTop w:val="60"/>
          <w:marBottom w:val="0"/>
          <w:divBdr>
            <w:top w:val="none" w:sz="0" w:space="0" w:color="auto"/>
            <w:left w:val="none" w:sz="0" w:space="0" w:color="auto"/>
            <w:bottom w:val="none" w:sz="0" w:space="0" w:color="auto"/>
            <w:right w:val="none" w:sz="0" w:space="0" w:color="auto"/>
          </w:divBdr>
        </w:div>
        <w:div w:id="1180580258">
          <w:marLeft w:val="1166"/>
          <w:marRight w:val="0"/>
          <w:marTop w:val="60"/>
          <w:marBottom w:val="0"/>
          <w:divBdr>
            <w:top w:val="none" w:sz="0" w:space="0" w:color="auto"/>
            <w:left w:val="none" w:sz="0" w:space="0" w:color="auto"/>
            <w:bottom w:val="none" w:sz="0" w:space="0" w:color="auto"/>
            <w:right w:val="none" w:sz="0" w:space="0" w:color="auto"/>
          </w:divBdr>
        </w:div>
      </w:divsChild>
    </w:div>
    <w:div w:id="639114507">
      <w:bodyDiv w:val="1"/>
      <w:marLeft w:val="0"/>
      <w:marRight w:val="0"/>
      <w:marTop w:val="0"/>
      <w:marBottom w:val="0"/>
      <w:divBdr>
        <w:top w:val="none" w:sz="0" w:space="0" w:color="auto"/>
        <w:left w:val="none" w:sz="0" w:space="0" w:color="auto"/>
        <w:bottom w:val="none" w:sz="0" w:space="0" w:color="auto"/>
        <w:right w:val="none" w:sz="0" w:space="0" w:color="auto"/>
      </w:divBdr>
    </w:div>
    <w:div w:id="658113692">
      <w:bodyDiv w:val="1"/>
      <w:marLeft w:val="0"/>
      <w:marRight w:val="0"/>
      <w:marTop w:val="0"/>
      <w:marBottom w:val="0"/>
      <w:divBdr>
        <w:top w:val="none" w:sz="0" w:space="0" w:color="auto"/>
        <w:left w:val="none" w:sz="0" w:space="0" w:color="auto"/>
        <w:bottom w:val="none" w:sz="0" w:space="0" w:color="auto"/>
        <w:right w:val="none" w:sz="0" w:space="0" w:color="auto"/>
      </w:divBdr>
    </w:div>
    <w:div w:id="796990242">
      <w:bodyDiv w:val="1"/>
      <w:marLeft w:val="0"/>
      <w:marRight w:val="0"/>
      <w:marTop w:val="0"/>
      <w:marBottom w:val="0"/>
      <w:divBdr>
        <w:top w:val="none" w:sz="0" w:space="0" w:color="auto"/>
        <w:left w:val="none" w:sz="0" w:space="0" w:color="auto"/>
        <w:bottom w:val="none" w:sz="0" w:space="0" w:color="auto"/>
        <w:right w:val="none" w:sz="0" w:space="0" w:color="auto"/>
      </w:divBdr>
    </w:div>
    <w:div w:id="861741538">
      <w:bodyDiv w:val="1"/>
      <w:marLeft w:val="0"/>
      <w:marRight w:val="0"/>
      <w:marTop w:val="0"/>
      <w:marBottom w:val="0"/>
      <w:divBdr>
        <w:top w:val="none" w:sz="0" w:space="0" w:color="auto"/>
        <w:left w:val="none" w:sz="0" w:space="0" w:color="auto"/>
        <w:bottom w:val="none" w:sz="0" w:space="0" w:color="auto"/>
        <w:right w:val="none" w:sz="0" w:space="0" w:color="auto"/>
      </w:divBdr>
      <w:divsChild>
        <w:div w:id="1455633012">
          <w:marLeft w:val="446"/>
          <w:marRight w:val="0"/>
          <w:marTop w:val="120"/>
          <w:marBottom w:val="0"/>
          <w:divBdr>
            <w:top w:val="none" w:sz="0" w:space="0" w:color="auto"/>
            <w:left w:val="none" w:sz="0" w:space="0" w:color="auto"/>
            <w:bottom w:val="none" w:sz="0" w:space="0" w:color="auto"/>
            <w:right w:val="none" w:sz="0" w:space="0" w:color="auto"/>
          </w:divBdr>
        </w:div>
      </w:divsChild>
    </w:div>
    <w:div w:id="891886298">
      <w:bodyDiv w:val="1"/>
      <w:marLeft w:val="0"/>
      <w:marRight w:val="0"/>
      <w:marTop w:val="0"/>
      <w:marBottom w:val="0"/>
      <w:divBdr>
        <w:top w:val="none" w:sz="0" w:space="0" w:color="auto"/>
        <w:left w:val="none" w:sz="0" w:space="0" w:color="auto"/>
        <w:bottom w:val="none" w:sz="0" w:space="0" w:color="auto"/>
        <w:right w:val="none" w:sz="0" w:space="0" w:color="auto"/>
      </w:divBdr>
      <w:divsChild>
        <w:div w:id="619068001">
          <w:marLeft w:val="1354"/>
          <w:marRight w:val="0"/>
          <w:marTop w:val="100"/>
          <w:marBottom w:val="0"/>
          <w:divBdr>
            <w:top w:val="none" w:sz="0" w:space="0" w:color="auto"/>
            <w:left w:val="none" w:sz="0" w:space="0" w:color="auto"/>
            <w:bottom w:val="none" w:sz="0" w:space="0" w:color="auto"/>
            <w:right w:val="none" w:sz="0" w:space="0" w:color="auto"/>
          </w:divBdr>
        </w:div>
      </w:divsChild>
    </w:div>
    <w:div w:id="911813270">
      <w:bodyDiv w:val="1"/>
      <w:marLeft w:val="0"/>
      <w:marRight w:val="0"/>
      <w:marTop w:val="0"/>
      <w:marBottom w:val="0"/>
      <w:divBdr>
        <w:top w:val="none" w:sz="0" w:space="0" w:color="auto"/>
        <w:left w:val="none" w:sz="0" w:space="0" w:color="auto"/>
        <w:bottom w:val="none" w:sz="0" w:space="0" w:color="auto"/>
        <w:right w:val="none" w:sz="0" w:space="0" w:color="auto"/>
      </w:divBdr>
    </w:div>
    <w:div w:id="981927239">
      <w:bodyDiv w:val="1"/>
      <w:marLeft w:val="0"/>
      <w:marRight w:val="0"/>
      <w:marTop w:val="0"/>
      <w:marBottom w:val="0"/>
      <w:divBdr>
        <w:top w:val="none" w:sz="0" w:space="0" w:color="auto"/>
        <w:left w:val="none" w:sz="0" w:space="0" w:color="auto"/>
        <w:bottom w:val="none" w:sz="0" w:space="0" w:color="auto"/>
        <w:right w:val="none" w:sz="0" w:space="0" w:color="auto"/>
      </w:divBdr>
      <w:divsChild>
        <w:div w:id="1608003193">
          <w:marLeft w:val="547"/>
          <w:marRight w:val="0"/>
          <w:marTop w:val="0"/>
          <w:marBottom w:val="0"/>
          <w:divBdr>
            <w:top w:val="none" w:sz="0" w:space="0" w:color="auto"/>
            <w:left w:val="none" w:sz="0" w:space="0" w:color="auto"/>
            <w:bottom w:val="none" w:sz="0" w:space="0" w:color="auto"/>
            <w:right w:val="none" w:sz="0" w:space="0" w:color="auto"/>
          </w:divBdr>
        </w:div>
        <w:div w:id="1185707325">
          <w:marLeft w:val="1166"/>
          <w:marRight w:val="0"/>
          <w:marTop w:val="0"/>
          <w:marBottom w:val="0"/>
          <w:divBdr>
            <w:top w:val="none" w:sz="0" w:space="0" w:color="auto"/>
            <w:left w:val="none" w:sz="0" w:space="0" w:color="auto"/>
            <w:bottom w:val="none" w:sz="0" w:space="0" w:color="auto"/>
            <w:right w:val="none" w:sz="0" w:space="0" w:color="auto"/>
          </w:divBdr>
        </w:div>
        <w:div w:id="427623251">
          <w:marLeft w:val="1166"/>
          <w:marRight w:val="0"/>
          <w:marTop w:val="0"/>
          <w:marBottom w:val="0"/>
          <w:divBdr>
            <w:top w:val="none" w:sz="0" w:space="0" w:color="auto"/>
            <w:left w:val="none" w:sz="0" w:space="0" w:color="auto"/>
            <w:bottom w:val="none" w:sz="0" w:space="0" w:color="auto"/>
            <w:right w:val="none" w:sz="0" w:space="0" w:color="auto"/>
          </w:divBdr>
        </w:div>
        <w:div w:id="252907246">
          <w:marLeft w:val="1166"/>
          <w:marRight w:val="0"/>
          <w:marTop w:val="0"/>
          <w:marBottom w:val="0"/>
          <w:divBdr>
            <w:top w:val="none" w:sz="0" w:space="0" w:color="auto"/>
            <w:left w:val="none" w:sz="0" w:space="0" w:color="auto"/>
            <w:bottom w:val="none" w:sz="0" w:space="0" w:color="auto"/>
            <w:right w:val="none" w:sz="0" w:space="0" w:color="auto"/>
          </w:divBdr>
        </w:div>
      </w:divsChild>
    </w:div>
    <w:div w:id="988708655">
      <w:bodyDiv w:val="1"/>
      <w:marLeft w:val="0"/>
      <w:marRight w:val="0"/>
      <w:marTop w:val="0"/>
      <w:marBottom w:val="0"/>
      <w:divBdr>
        <w:top w:val="none" w:sz="0" w:space="0" w:color="auto"/>
        <w:left w:val="none" w:sz="0" w:space="0" w:color="auto"/>
        <w:bottom w:val="none" w:sz="0" w:space="0" w:color="auto"/>
        <w:right w:val="none" w:sz="0" w:space="0" w:color="auto"/>
      </w:divBdr>
      <w:divsChild>
        <w:div w:id="989410022">
          <w:marLeft w:val="446"/>
          <w:marRight w:val="0"/>
          <w:marTop w:val="0"/>
          <w:marBottom w:val="0"/>
          <w:divBdr>
            <w:top w:val="none" w:sz="0" w:space="0" w:color="auto"/>
            <w:left w:val="none" w:sz="0" w:space="0" w:color="auto"/>
            <w:bottom w:val="none" w:sz="0" w:space="0" w:color="auto"/>
            <w:right w:val="none" w:sz="0" w:space="0" w:color="auto"/>
          </w:divBdr>
        </w:div>
      </w:divsChild>
    </w:div>
    <w:div w:id="1002318656">
      <w:bodyDiv w:val="1"/>
      <w:marLeft w:val="0"/>
      <w:marRight w:val="0"/>
      <w:marTop w:val="0"/>
      <w:marBottom w:val="0"/>
      <w:divBdr>
        <w:top w:val="none" w:sz="0" w:space="0" w:color="auto"/>
        <w:left w:val="none" w:sz="0" w:space="0" w:color="auto"/>
        <w:bottom w:val="none" w:sz="0" w:space="0" w:color="auto"/>
        <w:right w:val="none" w:sz="0" w:space="0" w:color="auto"/>
      </w:divBdr>
    </w:div>
    <w:div w:id="1078213916">
      <w:bodyDiv w:val="1"/>
      <w:marLeft w:val="0"/>
      <w:marRight w:val="0"/>
      <w:marTop w:val="0"/>
      <w:marBottom w:val="0"/>
      <w:divBdr>
        <w:top w:val="none" w:sz="0" w:space="0" w:color="auto"/>
        <w:left w:val="none" w:sz="0" w:space="0" w:color="auto"/>
        <w:bottom w:val="none" w:sz="0" w:space="0" w:color="auto"/>
        <w:right w:val="none" w:sz="0" w:space="0" w:color="auto"/>
      </w:divBdr>
    </w:div>
    <w:div w:id="1113482106">
      <w:bodyDiv w:val="1"/>
      <w:marLeft w:val="0"/>
      <w:marRight w:val="0"/>
      <w:marTop w:val="0"/>
      <w:marBottom w:val="0"/>
      <w:divBdr>
        <w:top w:val="none" w:sz="0" w:space="0" w:color="auto"/>
        <w:left w:val="none" w:sz="0" w:space="0" w:color="auto"/>
        <w:bottom w:val="none" w:sz="0" w:space="0" w:color="auto"/>
        <w:right w:val="none" w:sz="0" w:space="0" w:color="auto"/>
      </w:divBdr>
      <w:divsChild>
        <w:div w:id="1677806669">
          <w:marLeft w:val="475"/>
          <w:marRight w:val="0"/>
          <w:marTop w:val="120"/>
          <w:marBottom w:val="160"/>
          <w:divBdr>
            <w:top w:val="none" w:sz="0" w:space="0" w:color="auto"/>
            <w:left w:val="none" w:sz="0" w:space="0" w:color="auto"/>
            <w:bottom w:val="none" w:sz="0" w:space="0" w:color="auto"/>
            <w:right w:val="none" w:sz="0" w:space="0" w:color="auto"/>
          </w:divBdr>
        </w:div>
      </w:divsChild>
    </w:div>
    <w:div w:id="1164395325">
      <w:bodyDiv w:val="1"/>
      <w:marLeft w:val="0"/>
      <w:marRight w:val="0"/>
      <w:marTop w:val="0"/>
      <w:marBottom w:val="0"/>
      <w:divBdr>
        <w:top w:val="none" w:sz="0" w:space="0" w:color="auto"/>
        <w:left w:val="none" w:sz="0" w:space="0" w:color="auto"/>
        <w:bottom w:val="none" w:sz="0" w:space="0" w:color="auto"/>
        <w:right w:val="none" w:sz="0" w:space="0" w:color="auto"/>
      </w:divBdr>
    </w:div>
    <w:div w:id="1172452728">
      <w:bodyDiv w:val="1"/>
      <w:marLeft w:val="0"/>
      <w:marRight w:val="0"/>
      <w:marTop w:val="0"/>
      <w:marBottom w:val="0"/>
      <w:divBdr>
        <w:top w:val="none" w:sz="0" w:space="0" w:color="auto"/>
        <w:left w:val="none" w:sz="0" w:space="0" w:color="auto"/>
        <w:bottom w:val="none" w:sz="0" w:space="0" w:color="auto"/>
        <w:right w:val="none" w:sz="0" w:space="0" w:color="auto"/>
      </w:divBdr>
    </w:div>
    <w:div w:id="1214998363">
      <w:bodyDiv w:val="1"/>
      <w:marLeft w:val="0"/>
      <w:marRight w:val="0"/>
      <w:marTop w:val="0"/>
      <w:marBottom w:val="0"/>
      <w:divBdr>
        <w:top w:val="none" w:sz="0" w:space="0" w:color="auto"/>
        <w:left w:val="none" w:sz="0" w:space="0" w:color="auto"/>
        <w:bottom w:val="none" w:sz="0" w:space="0" w:color="auto"/>
        <w:right w:val="none" w:sz="0" w:space="0" w:color="auto"/>
      </w:divBdr>
      <w:divsChild>
        <w:div w:id="251859936">
          <w:marLeft w:val="475"/>
          <w:marRight w:val="0"/>
          <w:marTop w:val="120"/>
          <w:marBottom w:val="160"/>
          <w:divBdr>
            <w:top w:val="none" w:sz="0" w:space="0" w:color="auto"/>
            <w:left w:val="none" w:sz="0" w:space="0" w:color="auto"/>
            <w:bottom w:val="none" w:sz="0" w:space="0" w:color="auto"/>
            <w:right w:val="none" w:sz="0" w:space="0" w:color="auto"/>
          </w:divBdr>
        </w:div>
        <w:div w:id="1774399333">
          <w:marLeft w:val="965"/>
          <w:marRight w:val="0"/>
          <w:marTop w:val="60"/>
          <w:marBottom w:val="160"/>
          <w:divBdr>
            <w:top w:val="none" w:sz="0" w:space="0" w:color="auto"/>
            <w:left w:val="none" w:sz="0" w:space="0" w:color="auto"/>
            <w:bottom w:val="none" w:sz="0" w:space="0" w:color="auto"/>
            <w:right w:val="none" w:sz="0" w:space="0" w:color="auto"/>
          </w:divBdr>
        </w:div>
        <w:div w:id="865798777">
          <w:marLeft w:val="965"/>
          <w:marRight w:val="0"/>
          <w:marTop w:val="60"/>
          <w:marBottom w:val="160"/>
          <w:divBdr>
            <w:top w:val="none" w:sz="0" w:space="0" w:color="auto"/>
            <w:left w:val="none" w:sz="0" w:space="0" w:color="auto"/>
            <w:bottom w:val="none" w:sz="0" w:space="0" w:color="auto"/>
            <w:right w:val="none" w:sz="0" w:space="0" w:color="auto"/>
          </w:divBdr>
        </w:div>
        <w:div w:id="2136949982">
          <w:marLeft w:val="475"/>
          <w:marRight w:val="0"/>
          <w:marTop w:val="120"/>
          <w:marBottom w:val="160"/>
          <w:divBdr>
            <w:top w:val="none" w:sz="0" w:space="0" w:color="auto"/>
            <w:left w:val="none" w:sz="0" w:space="0" w:color="auto"/>
            <w:bottom w:val="none" w:sz="0" w:space="0" w:color="auto"/>
            <w:right w:val="none" w:sz="0" w:space="0" w:color="auto"/>
          </w:divBdr>
        </w:div>
        <w:div w:id="1384401326">
          <w:marLeft w:val="965"/>
          <w:marRight w:val="0"/>
          <w:marTop w:val="60"/>
          <w:marBottom w:val="160"/>
          <w:divBdr>
            <w:top w:val="none" w:sz="0" w:space="0" w:color="auto"/>
            <w:left w:val="none" w:sz="0" w:space="0" w:color="auto"/>
            <w:bottom w:val="none" w:sz="0" w:space="0" w:color="auto"/>
            <w:right w:val="none" w:sz="0" w:space="0" w:color="auto"/>
          </w:divBdr>
        </w:div>
        <w:div w:id="1312560287">
          <w:marLeft w:val="475"/>
          <w:marRight w:val="0"/>
          <w:marTop w:val="120"/>
          <w:marBottom w:val="160"/>
          <w:divBdr>
            <w:top w:val="none" w:sz="0" w:space="0" w:color="auto"/>
            <w:left w:val="none" w:sz="0" w:space="0" w:color="auto"/>
            <w:bottom w:val="none" w:sz="0" w:space="0" w:color="auto"/>
            <w:right w:val="none" w:sz="0" w:space="0" w:color="auto"/>
          </w:divBdr>
        </w:div>
        <w:div w:id="1639919000">
          <w:marLeft w:val="965"/>
          <w:marRight w:val="0"/>
          <w:marTop w:val="60"/>
          <w:marBottom w:val="160"/>
          <w:divBdr>
            <w:top w:val="none" w:sz="0" w:space="0" w:color="auto"/>
            <w:left w:val="none" w:sz="0" w:space="0" w:color="auto"/>
            <w:bottom w:val="none" w:sz="0" w:space="0" w:color="auto"/>
            <w:right w:val="none" w:sz="0" w:space="0" w:color="auto"/>
          </w:divBdr>
        </w:div>
        <w:div w:id="1939679232">
          <w:marLeft w:val="965"/>
          <w:marRight w:val="0"/>
          <w:marTop w:val="60"/>
          <w:marBottom w:val="160"/>
          <w:divBdr>
            <w:top w:val="none" w:sz="0" w:space="0" w:color="auto"/>
            <w:left w:val="none" w:sz="0" w:space="0" w:color="auto"/>
            <w:bottom w:val="none" w:sz="0" w:space="0" w:color="auto"/>
            <w:right w:val="none" w:sz="0" w:space="0" w:color="auto"/>
          </w:divBdr>
        </w:div>
        <w:div w:id="7369796">
          <w:marLeft w:val="475"/>
          <w:marRight w:val="0"/>
          <w:marTop w:val="120"/>
          <w:marBottom w:val="160"/>
          <w:divBdr>
            <w:top w:val="none" w:sz="0" w:space="0" w:color="auto"/>
            <w:left w:val="none" w:sz="0" w:space="0" w:color="auto"/>
            <w:bottom w:val="none" w:sz="0" w:space="0" w:color="auto"/>
            <w:right w:val="none" w:sz="0" w:space="0" w:color="auto"/>
          </w:divBdr>
        </w:div>
        <w:div w:id="1791583708">
          <w:marLeft w:val="475"/>
          <w:marRight w:val="0"/>
          <w:marTop w:val="120"/>
          <w:marBottom w:val="160"/>
          <w:divBdr>
            <w:top w:val="none" w:sz="0" w:space="0" w:color="auto"/>
            <w:left w:val="none" w:sz="0" w:space="0" w:color="auto"/>
            <w:bottom w:val="none" w:sz="0" w:space="0" w:color="auto"/>
            <w:right w:val="none" w:sz="0" w:space="0" w:color="auto"/>
          </w:divBdr>
        </w:div>
      </w:divsChild>
    </w:div>
    <w:div w:id="1377316489">
      <w:bodyDiv w:val="1"/>
      <w:marLeft w:val="0"/>
      <w:marRight w:val="0"/>
      <w:marTop w:val="0"/>
      <w:marBottom w:val="0"/>
      <w:divBdr>
        <w:top w:val="none" w:sz="0" w:space="0" w:color="auto"/>
        <w:left w:val="none" w:sz="0" w:space="0" w:color="auto"/>
        <w:bottom w:val="none" w:sz="0" w:space="0" w:color="auto"/>
        <w:right w:val="none" w:sz="0" w:space="0" w:color="auto"/>
      </w:divBdr>
    </w:div>
    <w:div w:id="1588686928">
      <w:bodyDiv w:val="1"/>
      <w:marLeft w:val="0"/>
      <w:marRight w:val="0"/>
      <w:marTop w:val="0"/>
      <w:marBottom w:val="0"/>
      <w:divBdr>
        <w:top w:val="none" w:sz="0" w:space="0" w:color="auto"/>
        <w:left w:val="none" w:sz="0" w:space="0" w:color="auto"/>
        <w:bottom w:val="none" w:sz="0" w:space="0" w:color="auto"/>
        <w:right w:val="none" w:sz="0" w:space="0" w:color="auto"/>
      </w:divBdr>
    </w:div>
    <w:div w:id="1704479066">
      <w:bodyDiv w:val="1"/>
      <w:marLeft w:val="0"/>
      <w:marRight w:val="0"/>
      <w:marTop w:val="0"/>
      <w:marBottom w:val="0"/>
      <w:divBdr>
        <w:top w:val="none" w:sz="0" w:space="0" w:color="auto"/>
        <w:left w:val="none" w:sz="0" w:space="0" w:color="auto"/>
        <w:bottom w:val="none" w:sz="0" w:space="0" w:color="auto"/>
        <w:right w:val="none" w:sz="0" w:space="0" w:color="auto"/>
      </w:divBdr>
      <w:divsChild>
        <w:div w:id="1275482529">
          <w:marLeft w:val="475"/>
          <w:marRight w:val="0"/>
          <w:marTop w:val="120"/>
          <w:marBottom w:val="160"/>
          <w:divBdr>
            <w:top w:val="none" w:sz="0" w:space="0" w:color="auto"/>
            <w:left w:val="none" w:sz="0" w:space="0" w:color="auto"/>
            <w:bottom w:val="none" w:sz="0" w:space="0" w:color="auto"/>
            <w:right w:val="none" w:sz="0" w:space="0" w:color="auto"/>
          </w:divBdr>
        </w:div>
        <w:div w:id="361709216">
          <w:marLeft w:val="965"/>
          <w:marRight w:val="0"/>
          <w:marTop w:val="60"/>
          <w:marBottom w:val="160"/>
          <w:divBdr>
            <w:top w:val="none" w:sz="0" w:space="0" w:color="auto"/>
            <w:left w:val="none" w:sz="0" w:space="0" w:color="auto"/>
            <w:bottom w:val="none" w:sz="0" w:space="0" w:color="auto"/>
            <w:right w:val="none" w:sz="0" w:space="0" w:color="auto"/>
          </w:divBdr>
        </w:div>
        <w:div w:id="450780715">
          <w:marLeft w:val="965"/>
          <w:marRight w:val="0"/>
          <w:marTop w:val="60"/>
          <w:marBottom w:val="160"/>
          <w:divBdr>
            <w:top w:val="none" w:sz="0" w:space="0" w:color="auto"/>
            <w:left w:val="none" w:sz="0" w:space="0" w:color="auto"/>
            <w:bottom w:val="none" w:sz="0" w:space="0" w:color="auto"/>
            <w:right w:val="none" w:sz="0" w:space="0" w:color="auto"/>
          </w:divBdr>
        </w:div>
        <w:div w:id="86394208">
          <w:marLeft w:val="475"/>
          <w:marRight w:val="0"/>
          <w:marTop w:val="120"/>
          <w:marBottom w:val="160"/>
          <w:divBdr>
            <w:top w:val="none" w:sz="0" w:space="0" w:color="auto"/>
            <w:left w:val="none" w:sz="0" w:space="0" w:color="auto"/>
            <w:bottom w:val="none" w:sz="0" w:space="0" w:color="auto"/>
            <w:right w:val="none" w:sz="0" w:space="0" w:color="auto"/>
          </w:divBdr>
        </w:div>
        <w:div w:id="639116301">
          <w:marLeft w:val="965"/>
          <w:marRight w:val="0"/>
          <w:marTop w:val="60"/>
          <w:marBottom w:val="160"/>
          <w:divBdr>
            <w:top w:val="none" w:sz="0" w:space="0" w:color="auto"/>
            <w:left w:val="none" w:sz="0" w:space="0" w:color="auto"/>
            <w:bottom w:val="none" w:sz="0" w:space="0" w:color="auto"/>
            <w:right w:val="none" w:sz="0" w:space="0" w:color="auto"/>
          </w:divBdr>
        </w:div>
        <w:div w:id="1599942499">
          <w:marLeft w:val="475"/>
          <w:marRight w:val="0"/>
          <w:marTop w:val="120"/>
          <w:marBottom w:val="160"/>
          <w:divBdr>
            <w:top w:val="none" w:sz="0" w:space="0" w:color="auto"/>
            <w:left w:val="none" w:sz="0" w:space="0" w:color="auto"/>
            <w:bottom w:val="none" w:sz="0" w:space="0" w:color="auto"/>
            <w:right w:val="none" w:sz="0" w:space="0" w:color="auto"/>
          </w:divBdr>
        </w:div>
        <w:div w:id="1537041956">
          <w:marLeft w:val="965"/>
          <w:marRight w:val="0"/>
          <w:marTop w:val="60"/>
          <w:marBottom w:val="160"/>
          <w:divBdr>
            <w:top w:val="none" w:sz="0" w:space="0" w:color="auto"/>
            <w:left w:val="none" w:sz="0" w:space="0" w:color="auto"/>
            <w:bottom w:val="none" w:sz="0" w:space="0" w:color="auto"/>
            <w:right w:val="none" w:sz="0" w:space="0" w:color="auto"/>
          </w:divBdr>
        </w:div>
        <w:div w:id="1228343458">
          <w:marLeft w:val="965"/>
          <w:marRight w:val="0"/>
          <w:marTop w:val="60"/>
          <w:marBottom w:val="160"/>
          <w:divBdr>
            <w:top w:val="none" w:sz="0" w:space="0" w:color="auto"/>
            <w:left w:val="none" w:sz="0" w:space="0" w:color="auto"/>
            <w:bottom w:val="none" w:sz="0" w:space="0" w:color="auto"/>
            <w:right w:val="none" w:sz="0" w:space="0" w:color="auto"/>
          </w:divBdr>
        </w:div>
        <w:div w:id="1255359261">
          <w:marLeft w:val="475"/>
          <w:marRight w:val="0"/>
          <w:marTop w:val="120"/>
          <w:marBottom w:val="160"/>
          <w:divBdr>
            <w:top w:val="none" w:sz="0" w:space="0" w:color="auto"/>
            <w:left w:val="none" w:sz="0" w:space="0" w:color="auto"/>
            <w:bottom w:val="none" w:sz="0" w:space="0" w:color="auto"/>
            <w:right w:val="none" w:sz="0" w:space="0" w:color="auto"/>
          </w:divBdr>
        </w:div>
        <w:div w:id="367805150">
          <w:marLeft w:val="475"/>
          <w:marRight w:val="0"/>
          <w:marTop w:val="120"/>
          <w:marBottom w:val="160"/>
          <w:divBdr>
            <w:top w:val="none" w:sz="0" w:space="0" w:color="auto"/>
            <w:left w:val="none" w:sz="0" w:space="0" w:color="auto"/>
            <w:bottom w:val="none" w:sz="0" w:space="0" w:color="auto"/>
            <w:right w:val="none" w:sz="0" w:space="0" w:color="auto"/>
          </w:divBdr>
        </w:div>
      </w:divsChild>
    </w:div>
    <w:div w:id="1721510294">
      <w:bodyDiv w:val="1"/>
      <w:marLeft w:val="0"/>
      <w:marRight w:val="0"/>
      <w:marTop w:val="0"/>
      <w:marBottom w:val="0"/>
      <w:divBdr>
        <w:top w:val="none" w:sz="0" w:space="0" w:color="auto"/>
        <w:left w:val="none" w:sz="0" w:space="0" w:color="auto"/>
        <w:bottom w:val="none" w:sz="0" w:space="0" w:color="auto"/>
        <w:right w:val="none" w:sz="0" w:space="0" w:color="auto"/>
      </w:divBdr>
    </w:div>
    <w:div w:id="1773238937">
      <w:bodyDiv w:val="1"/>
      <w:marLeft w:val="0"/>
      <w:marRight w:val="0"/>
      <w:marTop w:val="0"/>
      <w:marBottom w:val="0"/>
      <w:divBdr>
        <w:top w:val="none" w:sz="0" w:space="0" w:color="auto"/>
        <w:left w:val="none" w:sz="0" w:space="0" w:color="auto"/>
        <w:bottom w:val="none" w:sz="0" w:space="0" w:color="auto"/>
        <w:right w:val="none" w:sz="0" w:space="0" w:color="auto"/>
      </w:divBdr>
    </w:div>
    <w:div w:id="1830360885">
      <w:bodyDiv w:val="1"/>
      <w:marLeft w:val="0"/>
      <w:marRight w:val="0"/>
      <w:marTop w:val="0"/>
      <w:marBottom w:val="0"/>
      <w:divBdr>
        <w:top w:val="none" w:sz="0" w:space="0" w:color="auto"/>
        <w:left w:val="none" w:sz="0" w:space="0" w:color="auto"/>
        <w:bottom w:val="none" w:sz="0" w:space="0" w:color="auto"/>
        <w:right w:val="none" w:sz="0" w:space="0" w:color="auto"/>
      </w:divBdr>
    </w:div>
    <w:div w:id="1946962862">
      <w:bodyDiv w:val="1"/>
      <w:marLeft w:val="0"/>
      <w:marRight w:val="0"/>
      <w:marTop w:val="0"/>
      <w:marBottom w:val="0"/>
      <w:divBdr>
        <w:top w:val="none" w:sz="0" w:space="0" w:color="auto"/>
        <w:left w:val="none" w:sz="0" w:space="0" w:color="auto"/>
        <w:bottom w:val="none" w:sz="0" w:space="0" w:color="auto"/>
        <w:right w:val="none" w:sz="0" w:space="0" w:color="auto"/>
      </w:divBdr>
    </w:div>
    <w:div w:id="2025587604">
      <w:bodyDiv w:val="1"/>
      <w:marLeft w:val="0"/>
      <w:marRight w:val="0"/>
      <w:marTop w:val="0"/>
      <w:marBottom w:val="0"/>
      <w:divBdr>
        <w:top w:val="none" w:sz="0" w:space="0" w:color="auto"/>
        <w:left w:val="none" w:sz="0" w:space="0" w:color="auto"/>
        <w:bottom w:val="none" w:sz="0" w:space="0" w:color="auto"/>
        <w:right w:val="none" w:sz="0" w:space="0" w:color="auto"/>
      </w:divBdr>
    </w:div>
    <w:div w:id="2084527562">
      <w:bodyDiv w:val="1"/>
      <w:marLeft w:val="0"/>
      <w:marRight w:val="0"/>
      <w:marTop w:val="0"/>
      <w:marBottom w:val="0"/>
      <w:divBdr>
        <w:top w:val="none" w:sz="0" w:space="0" w:color="auto"/>
        <w:left w:val="none" w:sz="0" w:space="0" w:color="auto"/>
        <w:bottom w:val="none" w:sz="0" w:space="0" w:color="auto"/>
        <w:right w:val="none" w:sz="0" w:space="0" w:color="auto"/>
      </w:divBdr>
      <w:divsChild>
        <w:div w:id="103380677">
          <w:marLeft w:val="475"/>
          <w:marRight w:val="0"/>
          <w:marTop w:val="120"/>
          <w:marBottom w:val="180"/>
          <w:divBdr>
            <w:top w:val="none" w:sz="0" w:space="0" w:color="auto"/>
            <w:left w:val="none" w:sz="0" w:space="0" w:color="auto"/>
            <w:bottom w:val="none" w:sz="0" w:space="0" w:color="auto"/>
            <w:right w:val="none" w:sz="0" w:space="0" w:color="auto"/>
          </w:divBdr>
        </w:div>
      </w:divsChild>
    </w:div>
    <w:div w:id="2128699376">
      <w:bodyDiv w:val="1"/>
      <w:marLeft w:val="0"/>
      <w:marRight w:val="0"/>
      <w:marTop w:val="0"/>
      <w:marBottom w:val="0"/>
      <w:divBdr>
        <w:top w:val="none" w:sz="0" w:space="0" w:color="auto"/>
        <w:left w:val="none" w:sz="0" w:space="0" w:color="auto"/>
        <w:bottom w:val="none" w:sz="0" w:space="0" w:color="auto"/>
        <w:right w:val="none" w:sz="0" w:space="0" w:color="auto"/>
      </w:divBdr>
    </w:div>
    <w:div w:id="214554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1389</TotalTime>
  <Pages>4</Pages>
  <Words>1794</Words>
  <Characters>10231</Characters>
  <Application>Microsoft Office Word</Application>
  <DocSecurity>0</DocSecurity>
  <Lines>85</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洪 禎延</dc:creator>
  <cp:keywords/>
  <dc:description/>
  <cp:lastModifiedBy>洪 禎延</cp:lastModifiedBy>
  <cp:revision>116</cp:revision>
  <dcterms:created xsi:type="dcterms:W3CDTF">2023-10-26T05:23:00Z</dcterms:created>
  <dcterms:modified xsi:type="dcterms:W3CDTF">2023-11-01T10:55:00Z</dcterms:modified>
</cp:coreProperties>
</file>